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D308C" w14:textId="77777777" w:rsidR="0059773A" w:rsidRPr="00EF6DB9" w:rsidRDefault="0059773A" w:rsidP="0059773A">
      <w:pPr>
        <w:spacing w:after="0"/>
        <w:rPr>
          <w:rFonts w:ascii="Arial" w:hAnsi="Arial" w:cs="Arial"/>
          <w:b/>
          <w:color w:val="000000" w:themeColor="text1"/>
          <w:sz w:val="24"/>
          <w:szCs w:val="24"/>
        </w:rPr>
      </w:pPr>
    </w:p>
    <w:p w14:paraId="547FA48D" w14:textId="1BF9A2F4" w:rsidR="00036CAE" w:rsidRPr="00EF6DB9" w:rsidRDefault="00036CAE" w:rsidP="0059773A">
      <w:pPr>
        <w:spacing w:after="0"/>
        <w:rPr>
          <w:rFonts w:ascii="Arial" w:hAnsi="Arial" w:cs="Arial"/>
          <w:b/>
          <w:color w:val="000000" w:themeColor="text1"/>
          <w:sz w:val="24"/>
          <w:szCs w:val="24"/>
        </w:rPr>
      </w:pPr>
      <w:r w:rsidRPr="00EF6DB9">
        <w:rPr>
          <w:rFonts w:ascii="Arial" w:hAnsi="Arial" w:cs="Arial"/>
          <w:b/>
          <w:color w:val="000000" w:themeColor="text1"/>
          <w:sz w:val="24"/>
          <w:szCs w:val="24"/>
        </w:rPr>
        <w:t>Briefing on COVID 19 Vaccination and Mental Capacity Act Process</w:t>
      </w:r>
    </w:p>
    <w:p w14:paraId="07491989" w14:textId="77777777" w:rsidR="0059773A" w:rsidRPr="009E635A" w:rsidRDefault="0059773A" w:rsidP="0059773A">
      <w:pPr>
        <w:spacing w:after="0"/>
        <w:rPr>
          <w:rFonts w:cstheme="minorHAnsi"/>
          <w:bCs/>
          <w:color w:val="000000" w:themeColor="text1"/>
        </w:rPr>
      </w:pPr>
    </w:p>
    <w:p w14:paraId="00FB5B32" w14:textId="4E55CB5F" w:rsidR="00036CAE" w:rsidRPr="009E635A" w:rsidRDefault="00036CAE" w:rsidP="001E242C">
      <w:pPr>
        <w:ind w:left="720"/>
        <w:rPr>
          <w:rFonts w:cstheme="minorHAnsi"/>
          <w:bCs/>
          <w:color w:val="000000" w:themeColor="text1"/>
        </w:rPr>
      </w:pPr>
      <w:r w:rsidRPr="009E635A">
        <w:rPr>
          <w:rFonts w:cstheme="minorHAnsi"/>
          <w:bCs/>
          <w:color w:val="000000" w:themeColor="text1"/>
        </w:rPr>
        <w:t xml:space="preserve">This briefing is sadly in response to </w:t>
      </w:r>
      <w:r w:rsidR="004A691D" w:rsidRPr="009E635A">
        <w:rPr>
          <w:rFonts w:cstheme="minorHAnsi"/>
          <w:bCs/>
          <w:color w:val="000000" w:themeColor="text1"/>
        </w:rPr>
        <w:t>two</w:t>
      </w:r>
      <w:r w:rsidRPr="009E635A">
        <w:rPr>
          <w:rFonts w:cstheme="minorHAnsi"/>
          <w:bCs/>
          <w:color w:val="000000" w:themeColor="text1"/>
        </w:rPr>
        <w:t xml:space="preserve"> patient</w:t>
      </w:r>
      <w:r w:rsidR="004A691D" w:rsidRPr="009E635A">
        <w:rPr>
          <w:rFonts w:cstheme="minorHAnsi"/>
          <w:bCs/>
          <w:color w:val="000000" w:themeColor="text1"/>
        </w:rPr>
        <w:t>s</w:t>
      </w:r>
      <w:r w:rsidRPr="009E635A">
        <w:rPr>
          <w:rFonts w:cstheme="minorHAnsi"/>
          <w:bCs/>
          <w:color w:val="000000" w:themeColor="text1"/>
        </w:rPr>
        <w:t xml:space="preserve"> who lost their life due to COVID related complications.</w:t>
      </w:r>
      <w:r w:rsidR="00670CD1" w:rsidRPr="009E635A">
        <w:rPr>
          <w:rFonts w:cstheme="minorHAnsi"/>
          <w:bCs/>
          <w:color w:val="000000" w:themeColor="text1"/>
        </w:rPr>
        <w:t xml:space="preserve"> One patient had Learning difficulties and the other a diagnosis of Down syndrome. </w:t>
      </w:r>
      <w:r w:rsidRPr="009E635A">
        <w:rPr>
          <w:rFonts w:cstheme="minorHAnsi"/>
          <w:bCs/>
          <w:color w:val="000000" w:themeColor="text1"/>
        </w:rPr>
        <w:t>The patient</w:t>
      </w:r>
      <w:r w:rsidR="004A691D" w:rsidRPr="009E635A">
        <w:rPr>
          <w:rFonts w:cstheme="minorHAnsi"/>
          <w:bCs/>
          <w:color w:val="000000" w:themeColor="text1"/>
        </w:rPr>
        <w:t>s</w:t>
      </w:r>
      <w:r w:rsidRPr="009E635A">
        <w:rPr>
          <w:rFonts w:cstheme="minorHAnsi"/>
          <w:bCs/>
          <w:color w:val="000000" w:themeColor="text1"/>
        </w:rPr>
        <w:t xml:space="preserve"> had not been vaccinated and some family members did not want them to be vaccinated</w:t>
      </w:r>
      <w:r w:rsidR="00670CD1" w:rsidRPr="009E635A">
        <w:rPr>
          <w:rFonts w:cstheme="minorHAnsi"/>
          <w:bCs/>
          <w:color w:val="000000" w:themeColor="text1"/>
        </w:rPr>
        <w:t xml:space="preserve"> due to their concerns about the vaccine and its impact</w:t>
      </w:r>
      <w:r w:rsidR="004A48D9" w:rsidRPr="009E635A">
        <w:rPr>
          <w:rFonts w:cstheme="minorHAnsi"/>
          <w:bCs/>
          <w:color w:val="000000" w:themeColor="text1"/>
        </w:rPr>
        <w:t>.</w:t>
      </w:r>
      <w:r w:rsidR="0002568D" w:rsidRPr="009E635A">
        <w:rPr>
          <w:rFonts w:cstheme="minorHAnsi"/>
          <w:bCs/>
          <w:color w:val="000000" w:themeColor="text1"/>
        </w:rPr>
        <w:t xml:space="preserve"> </w:t>
      </w:r>
      <w:r w:rsidR="002B1E40" w:rsidRPr="002B1E40">
        <w:rPr>
          <w:rFonts w:cstheme="minorHAnsi"/>
          <w:bCs/>
          <w:color w:val="000000" w:themeColor="text1"/>
        </w:rPr>
        <w:t>It is important to ensure the MCA process is followed for those lacking capacity. This includes people with various mental disorders like advanced dementia, significant cognitive impairment, or any cases where you are not able to presume mental capacity because of the presentation.</w:t>
      </w:r>
      <w:r w:rsidR="002B1E40">
        <w:rPr>
          <w:rFonts w:cstheme="minorHAnsi"/>
          <w:bCs/>
          <w:color w:val="000000" w:themeColor="text1"/>
        </w:rPr>
        <w:t xml:space="preserve"> </w:t>
      </w:r>
      <w:r w:rsidR="005710B5" w:rsidRPr="005710B5">
        <w:rPr>
          <w:rFonts w:cstheme="minorHAnsi"/>
          <w:bCs/>
          <w:color w:val="000000" w:themeColor="text1"/>
        </w:rPr>
        <w:t xml:space="preserve">The principles below were extracted the from Mental Capacity Act its code of practice and from caselaw including emerging </w:t>
      </w:r>
      <w:hyperlink r:id="rId5" w:history="1">
        <w:r w:rsidR="0002568D" w:rsidRPr="009E635A">
          <w:rPr>
            <w:rStyle w:val="Hyperlink"/>
            <w:rFonts w:cstheme="minorHAnsi"/>
            <w:bCs/>
          </w:rPr>
          <w:t>COVID-19 Vaccination Case Law</w:t>
        </w:r>
      </w:hyperlink>
      <w:r w:rsidR="000C524B" w:rsidRPr="009E635A">
        <w:rPr>
          <w:rStyle w:val="Hyperlink"/>
          <w:rFonts w:cstheme="minorHAnsi"/>
          <w:bCs/>
        </w:rPr>
        <w:t xml:space="preserve">. </w:t>
      </w:r>
      <w:r w:rsidR="000C524B" w:rsidRPr="002F4A53">
        <w:rPr>
          <w:rStyle w:val="Hyperlink"/>
          <w:rFonts w:cstheme="minorHAnsi"/>
          <w:bCs/>
          <w:color w:val="auto"/>
          <w:u w:val="none"/>
        </w:rPr>
        <w:t xml:space="preserve">The guidance </w:t>
      </w:r>
      <w:r w:rsidR="002F4A53" w:rsidRPr="002F4A53">
        <w:rPr>
          <w:rStyle w:val="Hyperlink"/>
          <w:rFonts w:cstheme="minorHAnsi"/>
          <w:bCs/>
          <w:color w:val="auto"/>
          <w:u w:val="none"/>
        </w:rPr>
        <w:t>applies</w:t>
      </w:r>
      <w:r w:rsidR="002F4A53">
        <w:rPr>
          <w:rStyle w:val="Hyperlink"/>
          <w:rFonts w:cstheme="minorHAnsi"/>
          <w:bCs/>
          <w:color w:val="auto"/>
          <w:u w:val="none"/>
        </w:rPr>
        <w:t xml:space="preserve"> to all individuals aged 16 and older with the exception that </w:t>
      </w:r>
      <w:r w:rsidR="0092762A">
        <w:rPr>
          <w:rStyle w:val="Hyperlink"/>
          <w:rFonts w:cstheme="minorHAnsi"/>
          <w:bCs/>
          <w:color w:val="auto"/>
          <w:u w:val="none"/>
        </w:rPr>
        <w:t>16- and 17-year-olds</w:t>
      </w:r>
      <w:r w:rsidR="002F4A53">
        <w:rPr>
          <w:rStyle w:val="Hyperlink"/>
          <w:rFonts w:cstheme="minorHAnsi"/>
          <w:bCs/>
          <w:color w:val="auto"/>
          <w:u w:val="none"/>
        </w:rPr>
        <w:t xml:space="preserve"> cannot make a Lasting Power of Attorney or an Advance decision to refuse treatment</w:t>
      </w:r>
      <w:r w:rsidR="006A0EA6">
        <w:rPr>
          <w:rStyle w:val="Hyperlink"/>
          <w:rFonts w:cstheme="minorHAnsi"/>
          <w:bCs/>
          <w:color w:val="auto"/>
          <w:u w:val="none"/>
        </w:rPr>
        <w:t xml:space="preserve"> and if they lack capacity to consent to the vaccine those with parental responsibility can consent on their behalf</w:t>
      </w:r>
    </w:p>
    <w:p w14:paraId="032B4164" w14:textId="01163657" w:rsidR="00BC4FC5" w:rsidRPr="009E635A" w:rsidRDefault="00BC4FC5" w:rsidP="00EF7606">
      <w:pPr>
        <w:pStyle w:val="ListParagraph"/>
        <w:numPr>
          <w:ilvl w:val="0"/>
          <w:numId w:val="2"/>
        </w:numPr>
        <w:spacing w:after="0" w:line="240" w:lineRule="auto"/>
        <w:rPr>
          <w:rFonts w:cstheme="minorHAnsi"/>
          <w:color w:val="000000" w:themeColor="text1"/>
        </w:rPr>
      </w:pPr>
      <w:r w:rsidRPr="009E635A">
        <w:rPr>
          <w:rFonts w:cstheme="minorHAnsi"/>
          <w:color w:val="000000" w:themeColor="text1"/>
        </w:rPr>
        <w:t xml:space="preserve">The 5 principles of MCA remain the standard </w:t>
      </w:r>
      <w:r w:rsidR="00A624AC" w:rsidRPr="009E635A">
        <w:rPr>
          <w:rFonts w:cstheme="minorHAnsi"/>
          <w:color w:val="000000" w:themeColor="text1"/>
        </w:rPr>
        <w:t>main guidance</w:t>
      </w:r>
      <w:r w:rsidR="00A038E3" w:rsidRPr="009E635A">
        <w:rPr>
          <w:rFonts w:cstheme="minorHAnsi"/>
          <w:color w:val="000000" w:themeColor="text1"/>
        </w:rPr>
        <w:t xml:space="preserve">, </w:t>
      </w:r>
      <w:r w:rsidR="00036CAE" w:rsidRPr="009E635A">
        <w:rPr>
          <w:rFonts w:cstheme="minorHAnsi"/>
          <w:color w:val="000000" w:themeColor="text1"/>
        </w:rPr>
        <w:t>i</w:t>
      </w:r>
      <w:r w:rsidRPr="009E635A">
        <w:rPr>
          <w:rFonts w:cstheme="minorHAnsi"/>
          <w:color w:val="000000" w:themeColor="text1"/>
        </w:rPr>
        <w:t xml:space="preserve">f you follow the </w:t>
      </w:r>
      <w:r w:rsidR="00CB136D" w:rsidRPr="009E635A">
        <w:rPr>
          <w:rFonts w:cstheme="minorHAnsi"/>
          <w:color w:val="000000" w:themeColor="text1"/>
        </w:rPr>
        <w:t>principles,</w:t>
      </w:r>
      <w:r w:rsidRPr="009E635A">
        <w:rPr>
          <w:rFonts w:cstheme="minorHAnsi"/>
          <w:color w:val="000000" w:themeColor="text1"/>
        </w:rPr>
        <w:t xml:space="preserve"> you will come out right</w:t>
      </w:r>
      <w:r w:rsidR="00E43055" w:rsidRPr="009E635A">
        <w:rPr>
          <w:rFonts w:cstheme="minorHAnsi"/>
          <w:color w:val="000000" w:themeColor="text1"/>
        </w:rPr>
        <w:t>, here is a link to these</w:t>
      </w:r>
      <w:r w:rsidRPr="009E635A">
        <w:rPr>
          <w:rFonts w:cstheme="minorHAnsi"/>
          <w:color w:val="000000" w:themeColor="text1"/>
        </w:rPr>
        <w:t>.</w:t>
      </w:r>
      <w:r w:rsidR="00E43055" w:rsidRPr="009E635A">
        <w:rPr>
          <w:rFonts w:cstheme="minorHAnsi"/>
        </w:rPr>
        <w:t xml:space="preserve"> </w:t>
      </w:r>
      <w:hyperlink r:id="rId6" w:anchor="principles" w:history="1">
        <w:r w:rsidR="00B963E5" w:rsidRPr="009E635A">
          <w:rPr>
            <w:rStyle w:val="Hyperlink"/>
            <w:rFonts w:cstheme="minorHAnsi"/>
          </w:rPr>
          <w:t>MCA Principles: SCIE</w:t>
        </w:r>
      </w:hyperlink>
      <w:r w:rsidR="00E43055" w:rsidRPr="009E635A">
        <w:rPr>
          <w:rFonts w:cstheme="minorHAnsi"/>
          <w:color w:val="000000" w:themeColor="text1"/>
        </w:rPr>
        <w:t xml:space="preserve"> </w:t>
      </w:r>
    </w:p>
    <w:p w14:paraId="71C5D016" w14:textId="77777777" w:rsidR="0059773A" w:rsidRPr="009E635A" w:rsidRDefault="0059773A" w:rsidP="00EF7606">
      <w:pPr>
        <w:pStyle w:val="ListParagraph"/>
        <w:spacing w:after="0" w:line="240" w:lineRule="auto"/>
        <w:ind w:left="1440"/>
        <w:rPr>
          <w:rFonts w:cstheme="minorHAnsi"/>
          <w:color w:val="000000" w:themeColor="text1"/>
        </w:rPr>
      </w:pPr>
    </w:p>
    <w:p w14:paraId="2D784277" w14:textId="7410FBAF" w:rsidR="00767F67" w:rsidRPr="009E635A" w:rsidRDefault="00767F67" w:rsidP="00EF7606">
      <w:pPr>
        <w:pStyle w:val="ListParagraph"/>
        <w:numPr>
          <w:ilvl w:val="0"/>
          <w:numId w:val="2"/>
        </w:numPr>
        <w:spacing w:after="0" w:line="240" w:lineRule="auto"/>
        <w:jc w:val="both"/>
        <w:rPr>
          <w:rFonts w:cstheme="minorHAnsi"/>
          <w:color w:val="000000" w:themeColor="text1"/>
        </w:rPr>
      </w:pPr>
      <w:r w:rsidRPr="009E635A">
        <w:rPr>
          <w:rFonts w:cstheme="minorHAnsi"/>
          <w:color w:val="000000" w:themeColor="text1"/>
        </w:rPr>
        <w:t xml:space="preserve"> </w:t>
      </w:r>
      <w:r w:rsidR="00E16247" w:rsidRPr="009E635A">
        <w:rPr>
          <w:rFonts w:cstheme="minorHAnsi"/>
          <w:color w:val="000000" w:themeColor="text1"/>
        </w:rPr>
        <w:t>D</w:t>
      </w:r>
      <w:r w:rsidRPr="009E635A">
        <w:rPr>
          <w:rFonts w:cstheme="minorHAnsi"/>
          <w:color w:val="000000" w:themeColor="text1"/>
        </w:rPr>
        <w:t xml:space="preserve">o not utilise blanket decisions but rather focus on the individual </w:t>
      </w:r>
      <w:r w:rsidR="00213B6D" w:rsidRPr="009E635A">
        <w:rPr>
          <w:rFonts w:cstheme="minorHAnsi"/>
          <w:color w:val="000000" w:themeColor="text1"/>
        </w:rPr>
        <w:t xml:space="preserve">and involve them in all processes </w:t>
      </w:r>
    </w:p>
    <w:p w14:paraId="6928677E" w14:textId="77777777" w:rsidR="0059773A" w:rsidRPr="009E635A" w:rsidRDefault="0059773A" w:rsidP="00EF7606">
      <w:pPr>
        <w:spacing w:after="0" w:line="240" w:lineRule="auto"/>
        <w:jc w:val="both"/>
        <w:rPr>
          <w:rFonts w:cstheme="minorHAnsi"/>
          <w:color w:val="000000" w:themeColor="text1"/>
        </w:rPr>
      </w:pPr>
    </w:p>
    <w:p w14:paraId="33497CA1" w14:textId="023D4F54" w:rsidR="00213B6D" w:rsidRPr="009E635A" w:rsidRDefault="00213B6D" w:rsidP="00EF7606">
      <w:pPr>
        <w:pStyle w:val="ListParagraph"/>
        <w:numPr>
          <w:ilvl w:val="0"/>
          <w:numId w:val="2"/>
        </w:numPr>
        <w:spacing w:after="0" w:line="240" w:lineRule="auto"/>
        <w:jc w:val="both"/>
        <w:rPr>
          <w:rFonts w:cstheme="minorHAnsi"/>
          <w:color w:val="000000" w:themeColor="text1"/>
        </w:rPr>
      </w:pPr>
      <w:r w:rsidRPr="009E635A">
        <w:rPr>
          <w:rFonts w:cstheme="minorHAnsi"/>
          <w:color w:val="000000" w:themeColor="text1"/>
        </w:rPr>
        <w:t>Consent for the vaccine should be sought from the individual who is going to receive the vaccine</w:t>
      </w:r>
    </w:p>
    <w:p w14:paraId="7FBB6CE9" w14:textId="77777777" w:rsidR="0059773A" w:rsidRPr="009E635A" w:rsidRDefault="0059773A" w:rsidP="00EF7606">
      <w:pPr>
        <w:spacing w:after="0" w:line="240" w:lineRule="auto"/>
        <w:jc w:val="both"/>
        <w:rPr>
          <w:rFonts w:cstheme="minorHAnsi"/>
          <w:color w:val="000000" w:themeColor="text1"/>
        </w:rPr>
      </w:pPr>
    </w:p>
    <w:p w14:paraId="799A9E5B" w14:textId="320E73B3" w:rsidR="007C0034" w:rsidRPr="009E635A" w:rsidRDefault="007C0034" w:rsidP="00EF7606">
      <w:pPr>
        <w:pStyle w:val="ListParagraph"/>
        <w:numPr>
          <w:ilvl w:val="0"/>
          <w:numId w:val="2"/>
        </w:numPr>
        <w:spacing w:after="0" w:line="240" w:lineRule="auto"/>
        <w:jc w:val="both"/>
        <w:rPr>
          <w:rFonts w:cstheme="minorHAnsi"/>
          <w:color w:val="000000" w:themeColor="text1"/>
        </w:rPr>
      </w:pPr>
      <w:r w:rsidRPr="009E635A">
        <w:rPr>
          <w:rFonts w:cstheme="minorHAnsi"/>
          <w:color w:val="000000" w:themeColor="text1"/>
        </w:rPr>
        <w:t xml:space="preserve">We should presume capacity and only assess </w:t>
      </w:r>
      <w:r w:rsidR="002A733C" w:rsidRPr="009E635A">
        <w:rPr>
          <w:rFonts w:cstheme="minorHAnsi"/>
          <w:color w:val="000000" w:themeColor="text1"/>
        </w:rPr>
        <w:t xml:space="preserve">for capacity to consent to the vaccine </w:t>
      </w:r>
      <w:r w:rsidRPr="009E635A">
        <w:rPr>
          <w:rFonts w:cstheme="minorHAnsi"/>
          <w:color w:val="000000" w:themeColor="text1"/>
        </w:rPr>
        <w:t>where there is evidence to indicate the individual might lack capacity</w:t>
      </w:r>
      <w:r w:rsidR="00213B6D" w:rsidRPr="009E635A">
        <w:rPr>
          <w:rFonts w:cstheme="minorHAnsi"/>
          <w:color w:val="000000" w:themeColor="text1"/>
        </w:rPr>
        <w:t xml:space="preserve"> to consent to the vaccine</w:t>
      </w:r>
      <w:r w:rsidRPr="009E635A">
        <w:rPr>
          <w:rFonts w:cstheme="minorHAnsi"/>
          <w:color w:val="000000" w:themeColor="text1"/>
        </w:rPr>
        <w:t>.</w:t>
      </w:r>
    </w:p>
    <w:p w14:paraId="31B2E372" w14:textId="77777777" w:rsidR="0059773A" w:rsidRPr="009E635A" w:rsidRDefault="0059773A" w:rsidP="00EF7606">
      <w:pPr>
        <w:spacing w:after="0" w:line="240" w:lineRule="auto"/>
        <w:jc w:val="both"/>
        <w:rPr>
          <w:rFonts w:cstheme="minorHAnsi"/>
          <w:color w:val="000000" w:themeColor="text1"/>
        </w:rPr>
      </w:pPr>
    </w:p>
    <w:p w14:paraId="4CB4F89E" w14:textId="68021E38" w:rsidR="0059773A" w:rsidRPr="009E635A" w:rsidRDefault="00AE1F82" w:rsidP="00EF7606">
      <w:pPr>
        <w:pStyle w:val="ListParagraph"/>
        <w:numPr>
          <w:ilvl w:val="0"/>
          <w:numId w:val="2"/>
        </w:numPr>
        <w:spacing w:after="0" w:line="240" w:lineRule="auto"/>
        <w:jc w:val="both"/>
        <w:rPr>
          <w:rFonts w:cstheme="minorHAnsi"/>
          <w:color w:val="000000" w:themeColor="text1"/>
        </w:rPr>
      </w:pPr>
      <w:r w:rsidRPr="009E635A">
        <w:rPr>
          <w:rFonts w:cstheme="minorHAnsi"/>
          <w:color w:val="000000" w:themeColor="text1"/>
        </w:rPr>
        <w:t>For those whose capacity</w:t>
      </w:r>
      <w:r w:rsidR="002A733C" w:rsidRPr="009E635A">
        <w:rPr>
          <w:rFonts w:cstheme="minorHAnsi"/>
          <w:color w:val="000000" w:themeColor="text1"/>
        </w:rPr>
        <w:t xml:space="preserve"> to consent</w:t>
      </w:r>
      <w:r w:rsidRPr="009E635A">
        <w:rPr>
          <w:rFonts w:cstheme="minorHAnsi"/>
          <w:color w:val="000000" w:themeColor="text1"/>
        </w:rPr>
        <w:t xml:space="preserve"> is certain obtain consent, </w:t>
      </w:r>
      <w:r w:rsidR="008D5362" w:rsidRPr="009E635A">
        <w:rPr>
          <w:rFonts w:cstheme="minorHAnsi"/>
          <w:color w:val="000000" w:themeColor="text1"/>
        </w:rPr>
        <w:t xml:space="preserve">see </w:t>
      </w:r>
      <w:hyperlink r:id="rId7" w:history="1">
        <w:r w:rsidR="008D5362" w:rsidRPr="009E635A">
          <w:rPr>
            <w:rStyle w:val="Hyperlink"/>
            <w:rFonts w:cstheme="minorHAnsi"/>
          </w:rPr>
          <w:t xml:space="preserve">PHE link </w:t>
        </w:r>
      </w:hyperlink>
      <w:r w:rsidR="00922752" w:rsidRPr="009E635A">
        <w:rPr>
          <w:rFonts w:cstheme="minorHAnsi"/>
          <w:color w:val="000000" w:themeColor="text1"/>
        </w:rPr>
        <w:t xml:space="preserve"> for</w:t>
      </w:r>
      <w:r w:rsidRPr="009E635A">
        <w:rPr>
          <w:rFonts w:cstheme="minorHAnsi"/>
          <w:color w:val="000000" w:themeColor="text1"/>
        </w:rPr>
        <w:t xml:space="preserve"> forms you can use if you do not have any.</w:t>
      </w:r>
      <w:r w:rsidR="00213B6D" w:rsidRPr="009E635A">
        <w:rPr>
          <w:rFonts w:cstheme="minorHAnsi"/>
          <w:color w:val="000000" w:themeColor="text1"/>
        </w:rPr>
        <w:t xml:space="preserve"> If they refuse respect their decision and continue to share knowledge and benefits of the vaccine in a respectful manner.</w:t>
      </w:r>
    </w:p>
    <w:p w14:paraId="37869173" w14:textId="77777777" w:rsidR="002A733C" w:rsidRPr="009E635A" w:rsidRDefault="002A733C" w:rsidP="00EF7606">
      <w:pPr>
        <w:pStyle w:val="ListParagraph"/>
        <w:spacing w:line="240" w:lineRule="auto"/>
        <w:rPr>
          <w:rFonts w:cstheme="minorHAnsi"/>
          <w:color w:val="000000" w:themeColor="text1"/>
        </w:rPr>
      </w:pPr>
    </w:p>
    <w:p w14:paraId="344E3651" w14:textId="5C2005D8" w:rsidR="002A733C" w:rsidRPr="009E635A" w:rsidRDefault="002A733C" w:rsidP="00EF7606">
      <w:pPr>
        <w:pStyle w:val="ListParagraph"/>
        <w:numPr>
          <w:ilvl w:val="0"/>
          <w:numId w:val="2"/>
        </w:numPr>
        <w:spacing w:line="240" w:lineRule="auto"/>
        <w:jc w:val="both"/>
        <w:rPr>
          <w:rFonts w:cstheme="minorHAnsi"/>
          <w:color w:val="000000" w:themeColor="text1"/>
        </w:rPr>
      </w:pPr>
      <w:r w:rsidRPr="009E635A">
        <w:rPr>
          <w:rFonts w:cstheme="minorHAnsi"/>
          <w:color w:val="000000" w:themeColor="text1"/>
        </w:rPr>
        <w:t xml:space="preserve">Explain MCA process to the individual, family and significant others who are not familiar with the concepts and provide, here is a link from LYPFT CDLT with easy read materials </w:t>
      </w:r>
      <w:hyperlink r:id="rId8" w:history="1">
        <w:r w:rsidRPr="009E635A">
          <w:rPr>
            <w:rStyle w:val="Hyperlink"/>
            <w:rFonts w:cstheme="minorHAnsi"/>
          </w:rPr>
          <w:t>LYPFT useful resources for LD</w:t>
        </w:r>
      </w:hyperlink>
      <w:r w:rsidRPr="009E635A">
        <w:rPr>
          <w:rFonts w:cstheme="minorHAnsi"/>
          <w:color w:val="000000" w:themeColor="text1"/>
        </w:rPr>
        <w:t xml:space="preserve"> </w:t>
      </w:r>
      <w:r w:rsidR="0002568D" w:rsidRPr="009E635A">
        <w:rPr>
          <w:rFonts w:cstheme="minorHAnsi"/>
          <w:color w:val="000000" w:themeColor="text1"/>
        </w:rPr>
        <w:t>. They can also support you with the process including desensitisations work around barriers like fear of needles</w:t>
      </w:r>
    </w:p>
    <w:p w14:paraId="062D9349" w14:textId="77777777" w:rsidR="00922752" w:rsidRPr="009E635A" w:rsidRDefault="00922752" w:rsidP="00EF7606">
      <w:pPr>
        <w:pStyle w:val="ListParagraph"/>
        <w:spacing w:line="240" w:lineRule="auto"/>
        <w:ind w:left="1440"/>
        <w:jc w:val="both"/>
        <w:rPr>
          <w:rFonts w:cstheme="minorHAnsi"/>
          <w:color w:val="000000" w:themeColor="text1"/>
        </w:rPr>
      </w:pPr>
    </w:p>
    <w:p w14:paraId="380767B9" w14:textId="75840E27" w:rsidR="00832247" w:rsidRPr="009E635A" w:rsidRDefault="00BC4FC5" w:rsidP="00832247">
      <w:pPr>
        <w:pStyle w:val="ListParagraph"/>
        <w:numPr>
          <w:ilvl w:val="0"/>
          <w:numId w:val="2"/>
        </w:numPr>
        <w:rPr>
          <w:rStyle w:val="Hyperlink"/>
          <w:rFonts w:cstheme="minorHAnsi"/>
          <w:u w:val="none"/>
        </w:rPr>
      </w:pPr>
      <w:r w:rsidRPr="009E635A">
        <w:rPr>
          <w:rFonts w:cstheme="minorHAnsi"/>
          <w:color w:val="000000" w:themeColor="text1"/>
        </w:rPr>
        <w:t>For cases w</w:t>
      </w:r>
      <w:r w:rsidR="00512982" w:rsidRPr="009E635A">
        <w:rPr>
          <w:rFonts w:cstheme="minorHAnsi"/>
          <w:color w:val="000000" w:themeColor="text1"/>
        </w:rPr>
        <w:t>h</w:t>
      </w:r>
      <w:r w:rsidRPr="009E635A">
        <w:rPr>
          <w:rFonts w:cstheme="minorHAnsi"/>
          <w:color w:val="000000" w:themeColor="text1"/>
        </w:rPr>
        <w:t xml:space="preserve">ere </w:t>
      </w:r>
      <w:r w:rsidR="004218B1" w:rsidRPr="009E635A">
        <w:rPr>
          <w:rFonts w:cstheme="minorHAnsi"/>
          <w:color w:val="000000" w:themeColor="text1"/>
        </w:rPr>
        <w:t xml:space="preserve">you </w:t>
      </w:r>
      <w:r w:rsidRPr="009E635A">
        <w:rPr>
          <w:rFonts w:cstheme="minorHAnsi"/>
          <w:color w:val="000000" w:themeColor="text1"/>
        </w:rPr>
        <w:t xml:space="preserve">think the individual might lack the capacity to consent to the vaccine </w:t>
      </w:r>
      <w:r w:rsidR="00EC4DB9" w:rsidRPr="009E635A">
        <w:rPr>
          <w:rFonts w:cstheme="minorHAnsi"/>
          <w:color w:val="000000" w:themeColor="text1"/>
        </w:rPr>
        <w:t>you</w:t>
      </w:r>
      <w:r w:rsidRPr="009E635A">
        <w:rPr>
          <w:rFonts w:cstheme="minorHAnsi"/>
          <w:color w:val="000000" w:themeColor="text1"/>
        </w:rPr>
        <w:t xml:space="preserve"> should complete a capacity assessment and best interests process should be engaged</w:t>
      </w:r>
      <w:r w:rsidR="000955AC" w:rsidRPr="009E635A">
        <w:rPr>
          <w:rFonts w:cstheme="minorHAnsi"/>
          <w:color w:val="000000" w:themeColor="text1"/>
        </w:rPr>
        <w:t>.</w:t>
      </w:r>
      <w:r w:rsidR="009A0372" w:rsidRPr="009E635A">
        <w:rPr>
          <w:rFonts w:cstheme="minorHAnsi"/>
          <w:color w:val="000000" w:themeColor="text1"/>
        </w:rPr>
        <w:t xml:space="preserve"> </w:t>
      </w:r>
      <w:r w:rsidR="00E16247" w:rsidRPr="009E635A">
        <w:rPr>
          <w:rFonts w:cstheme="minorHAnsi"/>
          <w:color w:val="000000" w:themeColor="text1"/>
        </w:rPr>
        <w:t xml:space="preserve">See </w:t>
      </w:r>
      <w:r w:rsidR="00832247" w:rsidRPr="009E635A">
        <w:rPr>
          <w:rFonts w:cstheme="minorHAnsi"/>
          <w:color w:val="000000" w:themeColor="text1"/>
        </w:rPr>
        <w:t>this link for more information.</w:t>
      </w:r>
      <w:r w:rsidR="00832247" w:rsidRPr="009E635A">
        <w:fldChar w:fldCharType="begin"/>
      </w:r>
      <w:r w:rsidR="00832247" w:rsidRPr="009E635A">
        <w:rPr>
          <w:rFonts w:cstheme="minorHAnsi"/>
        </w:rPr>
        <w:instrText xml:space="preserve"> HYPERLINK "https://71633548c5390f9d8a76-11ea5efadf29c8f7bdcc6a216b02560a.ssl.cf3.rackcdn.com/content/uploads/2021/09/COVID-19-Vaccination-and-Mental-capacity-assessments-and-best-interests-decision-process.pdf" </w:instrText>
      </w:r>
      <w:r w:rsidR="00832247" w:rsidRPr="009E635A">
        <w:fldChar w:fldCharType="separate"/>
      </w:r>
      <w:r w:rsidR="00832247" w:rsidRPr="009E635A">
        <w:rPr>
          <w:rStyle w:val="Hyperlink"/>
          <w:rFonts w:cstheme="minorHAnsi"/>
          <w:u w:val="none"/>
        </w:rPr>
        <w:t xml:space="preserve"> Key points on assessing mental capacity and best interest</w:t>
      </w:r>
      <w:r w:rsidR="0017311A">
        <w:rPr>
          <w:rStyle w:val="Hyperlink"/>
          <w:rFonts w:cstheme="minorHAnsi"/>
          <w:u w:val="none"/>
        </w:rPr>
        <w:t>s</w:t>
      </w:r>
      <w:r w:rsidR="00832247" w:rsidRPr="009E635A">
        <w:rPr>
          <w:rStyle w:val="Hyperlink"/>
          <w:rFonts w:cstheme="minorHAnsi"/>
          <w:u w:val="none"/>
        </w:rPr>
        <w:t xml:space="preserve"> decisions: COVID 19 vaccine </w:t>
      </w:r>
    </w:p>
    <w:p w14:paraId="3D1445A4" w14:textId="7375552B" w:rsidR="00AB7A56" w:rsidRPr="009E635A" w:rsidRDefault="00832247" w:rsidP="00AB7A56">
      <w:pPr>
        <w:pStyle w:val="ListParagraph"/>
        <w:numPr>
          <w:ilvl w:val="0"/>
          <w:numId w:val="2"/>
        </w:numPr>
        <w:spacing w:after="0" w:line="240" w:lineRule="auto"/>
        <w:jc w:val="both"/>
        <w:rPr>
          <w:rFonts w:cstheme="minorHAnsi"/>
          <w:color w:val="000000" w:themeColor="text1"/>
        </w:rPr>
      </w:pPr>
      <w:r w:rsidRPr="009E635A">
        <w:rPr>
          <w:rStyle w:val="Hyperlink"/>
          <w:rFonts w:cstheme="minorHAnsi"/>
          <w:u w:val="none"/>
        </w:rPr>
        <w:t xml:space="preserve"> </w:t>
      </w:r>
      <w:r w:rsidR="00922752" w:rsidRPr="009E635A">
        <w:rPr>
          <w:rStyle w:val="Hyperlink"/>
          <w:rFonts w:cstheme="minorHAnsi"/>
          <w:u w:val="none"/>
        </w:rPr>
        <w:t xml:space="preserve"> </w:t>
      </w:r>
      <w:r w:rsidRPr="009E635A">
        <w:rPr>
          <w:rStyle w:val="Hyperlink"/>
          <w:rFonts w:cstheme="minorHAnsi"/>
          <w:u w:val="none"/>
        </w:rPr>
        <w:fldChar w:fldCharType="end"/>
      </w:r>
      <w:r w:rsidR="002B1E40">
        <w:rPr>
          <w:rStyle w:val="Hyperlink"/>
          <w:rFonts w:cstheme="minorHAnsi"/>
          <w:color w:val="auto"/>
          <w:u w:val="none"/>
        </w:rPr>
        <w:t>F</w:t>
      </w:r>
      <w:r w:rsidR="00922752" w:rsidRPr="009E635A">
        <w:rPr>
          <w:rStyle w:val="Hyperlink"/>
          <w:rFonts w:cstheme="minorHAnsi"/>
          <w:color w:val="auto"/>
          <w:u w:val="none"/>
        </w:rPr>
        <w:t xml:space="preserve">or further guidance </w:t>
      </w:r>
      <w:r w:rsidR="002A733C" w:rsidRPr="009E635A">
        <w:rPr>
          <w:rStyle w:val="Hyperlink"/>
          <w:rFonts w:cstheme="minorHAnsi"/>
          <w:color w:val="auto"/>
          <w:u w:val="none"/>
        </w:rPr>
        <w:t xml:space="preserve">and information on </w:t>
      </w:r>
      <w:r w:rsidR="006A1700" w:rsidRPr="009E635A">
        <w:rPr>
          <w:rStyle w:val="Hyperlink"/>
          <w:rFonts w:cstheme="minorHAnsi"/>
          <w:color w:val="auto"/>
          <w:u w:val="none"/>
        </w:rPr>
        <w:t>information to consider for capacity assessments and be</w:t>
      </w:r>
      <w:r w:rsidR="0002568D" w:rsidRPr="009E635A">
        <w:rPr>
          <w:rStyle w:val="Hyperlink"/>
          <w:rFonts w:cstheme="minorHAnsi"/>
          <w:color w:val="auto"/>
          <w:u w:val="none"/>
        </w:rPr>
        <w:t>st</w:t>
      </w:r>
      <w:r w:rsidR="006A1700" w:rsidRPr="009E635A">
        <w:rPr>
          <w:rStyle w:val="Hyperlink"/>
          <w:rFonts w:cstheme="minorHAnsi"/>
          <w:color w:val="auto"/>
          <w:u w:val="none"/>
        </w:rPr>
        <w:t xml:space="preserve"> interest</w:t>
      </w:r>
      <w:r w:rsidR="0002568D" w:rsidRPr="009E635A">
        <w:rPr>
          <w:rStyle w:val="Hyperlink"/>
          <w:rFonts w:cstheme="minorHAnsi"/>
          <w:color w:val="auto"/>
          <w:u w:val="none"/>
        </w:rPr>
        <w:t>s</w:t>
      </w:r>
      <w:r w:rsidR="006A1700" w:rsidRPr="009E635A">
        <w:rPr>
          <w:rStyle w:val="Hyperlink"/>
          <w:rFonts w:cstheme="minorHAnsi"/>
          <w:color w:val="auto"/>
          <w:u w:val="none"/>
        </w:rPr>
        <w:t xml:space="preserve"> </w:t>
      </w:r>
      <w:r w:rsidR="0002568D" w:rsidRPr="009E635A">
        <w:rPr>
          <w:rStyle w:val="Hyperlink"/>
          <w:rFonts w:cstheme="minorHAnsi"/>
          <w:color w:val="auto"/>
          <w:u w:val="none"/>
        </w:rPr>
        <w:t>decision</w:t>
      </w:r>
      <w:r w:rsidR="00AB7A56" w:rsidRPr="009E635A">
        <w:rPr>
          <w:rStyle w:val="Hyperlink"/>
          <w:rFonts w:cstheme="minorHAnsi"/>
          <w:color w:val="auto"/>
          <w:u w:val="none"/>
        </w:rPr>
        <w:t xml:space="preserve"> </w:t>
      </w:r>
      <w:r w:rsidR="002B1E40">
        <w:rPr>
          <w:rStyle w:val="Hyperlink"/>
          <w:rFonts w:cstheme="minorHAnsi"/>
          <w:color w:val="auto"/>
          <w:u w:val="none"/>
        </w:rPr>
        <w:t xml:space="preserve">for LD client group The MCA lead </w:t>
      </w:r>
      <w:r w:rsidR="00AB7A56" w:rsidRPr="009E635A">
        <w:rPr>
          <w:rStyle w:val="Hyperlink"/>
          <w:rFonts w:cstheme="minorHAnsi"/>
          <w:color w:val="auto"/>
          <w:u w:val="none"/>
        </w:rPr>
        <w:t xml:space="preserve">and the </w:t>
      </w:r>
      <w:bookmarkStart w:id="0" w:name="_Hlk82689896"/>
      <w:r w:rsidR="00AB7A56" w:rsidRPr="009E635A">
        <w:rPr>
          <w:rFonts w:cstheme="minorHAnsi"/>
          <w:color w:val="000000" w:themeColor="text1"/>
        </w:rPr>
        <w:fldChar w:fldCharType="begin"/>
      </w:r>
      <w:r w:rsidR="00AB7A56" w:rsidRPr="009E635A">
        <w:rPr>
          <w:rFonts w:cstheme="minorHAnsi"/>
          <w:color w:val="000000" w:themeColor="text1"/>
        </w:rPr>
        <w:instrText>HYPERLINK "https://www.leedsandyorkpft.nhs.uk/our-services/community-learning-disability-teams-cldt"</w:instrText>
      </w:r>
      <w:r w:rsidR="00AB7A56" w:rsidRPr="009E635A">
        <w:rPr>
          <w:rFonts w:cstheme="minorHAnsi"/>
          <w:color w:val="000000" w:themeColor="text1"/>
        </w:rPr>
        <w:fldChar w:fldCharType="separate"/>
      </w:r>
      <w:r w:rsidR="00AB7A56" w:rsidRPr="009E635A">
        <w:rPr>
          <w:rStyle w:val="Hyperlink"/>
          <w:rFonts w:cstheme="minorHAnsi"/>
        </w:rPr>
        <w:t xml:space="preserve">Community Learning Disability Community Team </w:t>
      </w:r>
      <w:r w:rsidR="00AB7A56" w:rsidRPr="009E635A">
        <w:rPr>
          <w:rFonts w:cstheme="minorHAnsi"/>
          <w:color w:val="000000" w:themeColor="text1"/>
        </w:rPr>
        <w:fldChar w:fldCharType="end"/>
      </w:r>
      <w:bookmarkEnd w:id="0"/>
      <w:r w:rsidR="00AB7A56" w:rsidRPr="009E635A">
        <w:rPr>
          <w:rFonts w:cstheme="minorHAnsi"/>
          <w:color w:val="000000" w:themeColor="text1"/>
        </w:rPr>
        <w:t>can support you further.</w:t>
      </w:r>
    </w:p>
    <w:p w14:paraId="27C7DB14" w14:textId="77777777" w:rsidR="0059773A" w:rsidRPr="009E635A" w:rsidRDefault="0059773A" w:rsidP="00EF7606">
      <w:pPr>
        <w:spacing w:after="0" w:line="240" w:lineRule="auto"/>
        <w:jc w:val="both"/>
        <w:rPr>
          <w:rFonts w:cstheme="minorHAnsi"/>
          <w:color w:val="000000" w:themeColor="text1"/>
        </w:rPr>
      </w:pPr>
    </w:p>
    <w:p w14:paraId="1B757ABF" w14:textId="661FDDCF" w:rsidR="0059773A" w:rsidRPr="009E635A" w:rsidRDefault="00AB7A56" w:rsidP="00EF7606">
      <w:pPr>
        <w:pStyle w:val="ListParagraph"/>
        <w:numPr>
          <w:ilvl w:val="0"/>
          <w:numId w:val="2"/>
        </w:numPr>
        <w:spacing w:after="0" w:line="240" w:lineRule="auto"/>
        <w:jc w:val="both"/>
        <w:rPr>
          <w:rFonts w:cstheme="minorHAnsi"/>
          <w:color w:val="000000" w:themeColor="text1"/>
        </w:rPr>
      </w:pPr>
      <w:r w:rsidRPr="009E635A">
        <w:rPr>
          <w:rFonts w:cstheme="minorHAnsi"/>
          <w:color w:val="000000" w:themeColor="text1"/>
        </w:rPr>
        <w:t>A</w:t>
      </w:r>
      <w:r w:rsidR="00730BA8" w:rsidRPr="009E635A">
        <w:rPr>
          <w:rFonts w:cstheme="minorHAnsi"/>
          <w:color w:val="000000" w:themeColor="text1"/>
        </w:rPr>
        <w:t>ppointed deputies with a mandate to make the decision</w:t>
      </w:r>
      <w:r w:rsidR="007C0034" w:rsidRPr="009E635A">
        <w:rPr>
          <w:rFonts w:cstheme="minorHAnsi"/>
          <w:color w:val="000000" w:themeColor="text1"/>
        </w:rPr>
        <w:t xml:space="preserve"> and </w:t>
      </w:r>
      <w:r w:rsidR="004C12FE" w:rsidRPr="009E635A">
        <w:rPr>
          <w:rFonts w:cstheme="minorHAnsi"/>
          <w:color w:val="000000" w:themeColor="text1"/>
        </w:rPr>
        <w:t xml:space="preserve">individuals appointed </w:t>
      </w:r>
      <w:r w:rsidR="00730BA8" w:rsidRPr="009E635A">
        <w:rPr>
          <w:rFonts w:cstheme="minorHAnsi"/>
          <w:color w:val="000000" w:themeColor="text1"/>
        </w:rPr>
        <w:t>with a reg</w:t>
      </w:r>
      <w:r w:rsidR="007C0034" w:rsidRPr="009E635A">
        <w:rPr>
          <w:rFonts w:cstheme="minorHAnsi"/>
          <w:color w:val="000000" w:themeColor="text1"/>
        </w:rPr>
        <w:t>istered health and welfare L</w:t>
      </w:r>
      <w:r w:rsidR="00E16247" w:rsidRPr="009E635A">
        <w:rPr>
          <w:rFonts w:cstheme="minorHAnsi"/>
          <w:color w:val="000000" w:themeColor="text1"/>
        </w:rPr>
        <w:t xml:space="preserve">asting </w:t>
      </w:r>
      <w:r w:rsidR="007C0034" w:rsidRPr="009E635A">
        <w:rPr>
          <w:rFonts w:cstheme="minorHAnsi"/>
          <w:color w:val="000000" w:themeColor="text1"/>
        </w:rPr>
        <w:t>P</w:t>
      </w:r>
      <w:r w:rsidR="00E16247" w:rsidRPr="009E635A">
        <w:rPr>
          <w:rFonts w:cstheme="minorHAnsi"/>
          <w:color w:val="000000" w:themeColor="text1"/>
        </w:rPr>
        <w:t xml:space="preserve">ower of </w:t>
      </w:r>
      <w:r w:rsidR="007C0034" w:rsidRPr="009E635A">
        <w:rPr>
          <w:rFonts w:cstheme="minorHAnsi"/>
          <w:color w:val="000000" w:themeColor="text1"/>
        </w:rPr>
        <w:t>A</w:t>
      </w:r>
      <w:r w:rsidR="00E16247" w:rsidRPr="009E635A">
        <w:rPr>
          <w:rFonts w:cstheme="minorHAnsi"/>
          <w:color w:val="000000" w:themeColor="text1"/>
        </w:rPr>
        <w:t>ttorney (LPA)</w:t>
      </w:r>
      <w:r w:rsidR="00EF6DB9" w:rsidRPr="009E635A">
        <w:rPr>
          <w:rFonts w:cstheme="minorHAnsi"/>
          <w:color w:val="000000" w:themeColor="text1"/>
        </w:rPr>
        <w:t xml:space="preserve"> can make the decision in relation to consenting to the vaccine</w:t>
      </w:r>
      <w:r w:rsidR="007C0034" w:rsidRPr="009E635A">
        <w:rPr>
          <w:rFonts w:cstheme="minorHAnsi"/>
          <w:color w:val="000000" w:themeColor="text1"/>
        </w:rPr>
        <w:t>.</w:t>
      </w:r>
      <w:r w:rsidR="000955AC" w:rsidRPr="009E635A">
        <w:rPr>
          <w:rFonts w:cstheme="minorHAnsi"/>
          <w:color w:val="000000" w:themeColor="text1"/>
        </w:rPr>
        <w:t xml:space="preserve"> If their decision is </w:t>
      </w:r>
      <w:r w:rsidR="00E16247" w:rsidRPr="009E635A">
        <w:rPr>
          <w:rFonts w:cstheme="minorHAnsi"/>
          <w:color w:val="000000" w:themeColor="text1"/>
        </w:rPr>
        <w:t>not in line with the individual’s best interest</w:t>
      </w:r>
      <w:r w:rsidR="0017311A">
        <w:rPr>
          <w:rFonts w:cstheme="minorHAnsi"/>
          <w:color w:val="000000" w:themeColor="text1"/>
        </w:rPr>
        <w:t>s</w:t>
      </w:r>
      <w:r w:rsidR="00E16247" w:rsidRPr="009E635A">
        <w:rPr>
          <w:rFonts w:cstheme="minorHAnsi"/>
          <w:color w:val="000000" w:themeColor="text1"/>
        </w:rPr>
        <w:t xml:space="preserve"> it should be reviewed with input from MCA Lead who can advice on next steps </w:t>
      </w:r>
      <w:r w:rsidR="002F4A53" w:rsidRPr="009E635A">
        <w:rPr>
          <w:rFonts w:cstheme="minorHAnsi"/>
          <w:color w:val="000000" w:themeColor="text1"/>
        </w:rPr>
        <w:t>e.g.,</w:t>
      </w:r>
      <w:r w:rsidR="00F25F5B" w:rsidRPr="009E635A">
        <w:rPr>
          <w:rFonts w:cstheme="minorHAnsi"/>
          <w:color w:val="000000" w:themeColor="text1"/>
        </w:rPr>
        <w:t xml:space="preserve"> </w:t>
      </w:r>
      <w:r w:rsidR="00E16247" w:rsidRPr="009E635A">
        <w:rPr>
          <w:rFonts w:cstheme="minorHAnsi"/>
          <w:color w:val="000000" w:themeColor="text1"/>
        </w:rPr>
        <w:t>further engagement, COP, approaching the Office of the Public Guardian.</w:t>
      </w:r>
      <w:r w:rsidR="00922752" w:rsidRPr="009E635A">
        <w:rPr>
          <w:rFonts w:cstheme="minorHAnsi"/>
          <w:color w:val="000000" w:themeColor="text1"/>
        </w:rPr>
        <w:t xml:space="preserve"> You can </w:t>
      </w:r>
      <w:hyperlink r:id="rId9" w:history="1">
        <w:r w:rsidR="00922752" w:rsidRPr="009E635A">
          <w:rPr>
            <w:rStyle w:val="Hyperlink"/>
            <w:rFonts w:cstheme="minorHAnsi"/>
          </w:rPr>
          <w:t>Check if a COVID-19 patient has an attorney (LPA) or deputy</w:t>
        </w:r>
      </w:hyperlink>
      <w:r w:rsidR="00922752" w:rsidRPr="009E635A">
        <w:rPr>
          <w:rFonts w:cstheme="minorHAnsi"/>
          <w:color w:val="000000" w:themeColor="text1"/>
        </w:rPr>
        <w:t xml:space="preserve">  </w:t>
      </w:r>
    </w:p>
    <w:p w14:paraId="215D82F3" w14:textId="77777777" w:rsidR="0059773A" w:rsidRPr="009E635A" w:rsidRDefault="0059773A" w:rsidP="00EF7606">
      <w:pPr>
        <w:spacing w:after="0" w:line="240" w:lineRule="auto"/>
        <w:jc w:val="both"/>
        <w:rPr>
          <w:rFonts w:cstheme="minorHAnsi"/>
          <w:color w:val="000000" w:themeColor="text1"/>
        </w:rPr>
      </w:pPr>
    </w:p>
    <w:p w14:paraId="2EDA6DE5" w14:textId="76E9CE24" w:rsidR="002A733C" w:rsidRPr="009E635A" w:rsidRDefault="00730BA8" w:rsidP="00EF7606">
      <w:pPr>
        <w:pStyle w:val="ListParagraph"/>
        <w:numPr>
          <w:ilvl w:val="0"/>
          <w:numId w:val="2"/>
        </w:numPr>
        <w:spacing w:after="0" w:line="240" w:lineRule="auto"/>
        <w:jc w:val="both"/>
        <w:rPr>
          <w:rFonts w:cstheme="minorHAnsi"/>
          <w:color w:val="000000" w:themeColor="text1"/>
        </w:rPr>
      </w:pPr>
      <w:r w:rsidRPr="009E635A">
        <w:rPr>
          <w:rFonts w:cstheme="minorHAnsi"/>
          <w:color w:val="000000" w:themeColor="text1"/>
        </w:rPr>
        <w:t xml:space="preserve">To ascertain best </w:t>
      </w:r>
      <w:r w:rsidR="00CB136D" w:rsidRPr="009E635A">
        <w:rPr>
          <w:rFonts w:cstheme="minorHAnsi"/>
          <w:color w:val="000000" w:themeColor="text1"/>
        </w:rPr>
        <w:t>interests,</w:t>
      </w:r>
      <w:r w:rsidRPr="009E635A">
        <w:rPr>
          <w:rFonts w:cstheme="minorHAnsi"/>
          <w:color w:val="000000" w:themeColor="text1"/>
        </w:rPr>
        <w:t xml:space="preserve"> y</w:t>
      </w:r>
      <w:r w:rsidR="00BC4FC5" w:rsidRPr="009E635A">
        <w:rPr>
          <w:rFonts w:cstheme="minorHAnsi"/>
          <w:color w:val="000000" w:themeColor="text1"/>
        </w:rPr>
        <w:t xml:space="preserve">ou do not need a big meeting as long as you have consulted with relevant key people like other professionals or staff, family, friends </w:t>
      </w:r>
      <w:r w:rsidR="004218B1" w:rsidRPr="009E635A">
        <w:rPr>
          <w:rFonts w:cstheme="minorHAnsi"/>
          <w:color w:val="000000" w:themeColor="text1"/>
        </w:rPr>
        <w:t xml:space="preserve">and </w:t>
      </w:r>
      <w:r w:rsidR="00BC4FC5" w:rsidRPr="009E635A">
        <w:rPr>
          <w:rFonts w:cstheme="minorHAnsi"/>
          <w:color w:val="000000" w:themeColor="text1"/>
        </w:rPr>
        <w:t>advocate</w:t>
      </w:r>
      <w:r w:rsidR="001A6A56" w:rsidRPr="009E635A">
        <w:rPr>
          <w:rFonts w:cstheme="minorHAnsi"/>
          <w:color w:val="000000" w:themeColor="text1"/>
        </w:rPr>
        <w:t>s</w:t>
      </w:r>
      <w:r w:rsidR="002316CF" w:rsidRPr="009E635A">
        <w:rPr>
          <w:rFonts w:cstheme="minorHAnsi"/>
          <w:color w:val="000000" w:themeColor="text1"/>
        </w:rPr>
        <w:t xml:space="preserve">, </w:t>
      </w:r>
      <w:r w:rsidR="009A18AA" w:rsidRPr="009E635A">
        <w:rPr>
          <w:rFonts w:cstheme="minorHAnsi"/>
          <w:color w:val="000000" w:themeColor="text1"/>
        </w:rPr>
        <w:t>(</w:t>
      </w:r>
      <w:r w:rsidR="004218B1" w:rsidRPr="009E635A">
        <w:rPr>
          <w:rFonts w:cstheme="minorHAnsi"/>
          <w:color w:val="000000" w:themeColor="text1"/>
        </w:rPr>
        <w:t>IMCA)</w:t>
      </w:r>
      <w:r w:rsidR="00BC4FC5" w:rsidRPr="009E635A">
        <w:rPr>
          <w:rFonts w:cstheme="minorHAnsi"/>
          <w:color w:val="000000" w:themeColor="text1"/>
        </w:rPr>
        <w:t xml:space="preserve"> if indicated</w:t>
      </w:r>
      <w:r w:rsidR="00BD1E74" w:rsidRPr="009E635A">
        <w:rPr>
          <w:rFonts w:cstheme="minorHAnsi"/>
          <w:color w:val="000000" w:themeColor="text1"/>
        </w:rPr>
        <w:t xml:space="preserve"> </w:t>
      </w:r>
      <w:r w:rsidR="002B1E40" w:rsidRPr="009E635A">
        <w:rPr>
          <w:rFonts w:cstheme="minorHAnsi"/>
          <w:color w:val="000000" w:themeColor="text1"/>
        </w:rPr>
        <w:t>e.g.,</w:t>
      </w:r>
      <w:r w:rsidR="00BD1E74" w:rsidRPr="009E635A">
        <w:rPr>
          <w:rFonts w:cstheme="minorHAnsi"/>
          <w:color w:val="000000" w:themeColor="text1"/>
        </w:rPr>
        <w:t xml:space="preserve"> in cases </w:t>
      </w:r>
      <w:proofErr w:type="gramStart"/>
      <w:r w:rsidR="009A18AA" w:rsidRPr="009E635A">
        <w:rPr>
          <w:rFonts w:cstheme="minorHAnsi"/>
          <w:color w:val="000000" w:themeColor="text1"/>
        </w:rPr>
        <w:t>were</w:t>
      </w:r>
      <w:proofErr w:type="gramEnd"/>
      <w:r w:rsidR="009A18AA" w:rsidRPr="009E635A">
        <w:rPr>
          <w:rFonts w:cstheme="minorHAnsi"/>
          <w:color w:val="000000" w:themeColor="text1"/>
        </w:rPr>
        <w:t xml:space="preserve"> </w:t>
      </w:r>
      <w:r w:rsidR="001A6A56" w:rsidRPr="009E635A">
        <w:rPr>
          <w:rFonts w:cstheme="minorHAnsi"/>
          <w:color w:val="000000" w:themeColor="text1"/>
        </w:rPr>
        <w:t>restraint</w:t>
      </w:r>
      <w:r w:rsidR="009A18AA" w:rsidRPr="009E635A">
        <w:rPr>
          <w:rFonts w:cstheme="minorHAnsi"/>
          <w:color w:val="000000" w:themeColor="text1"/>
        </w:rPr>
        <w:t xml:space="preserve"> might be </w:t>
      </w:r>
      <w:r w:rsidR="002316CF" w:rsidRPr="009E635A">
        <w:rPr>
          <w:rFonts w:cstheme="minorHAnsi"/>
          <w:color w:val="000000" w:themeColor="text1"/>
        </w:rPr>
        <w:t>indicated</w:t>
      </w:r>
      <w:r w:rsidR="002A733C" w:rsidRPr="009E635A">
        <w:rPr>
          <w:rFonts w:cstheme="minorHAnsi"/>
          <w:color w:val="000000" w:themeColor="text1"/>
        </w:rPr>
        <w:t xml:space="preserve">. </w:t>
      </w:r>
      <w:r w:rsidR="00EF6DB9" w:rsidRPr="009E635A">
        <w:rPr>
          <w:rFonts w:cstheme="minorHAnsi"/>
          <w:color w:val="000000" w:themeColor="text1"/>
        </w:rPr>
        <w:t>Such consultation can take various forms including face to face meetings, audio and video consultations.</w:t>
      </w:r>
    </w:p>
    <w:p w14:paraId="0CB6AAEF" w14:textId="77777777" w:rsidR="002A733C" w:rsidRPr="009E635A" w:rsidRDefault="002A733C" w:rsidP="00EF7606">
      <w:pPr>
        <w:pStyle w:val="ListParagraph"/>
        <w:spacing w:line="240" w:lineRule="auto"/>
        <w:rPr>
          <w:rFonts w:cstheme="minorHAnsi"/>
          <w:color w:val="000000" w:themeColor="text1"/>
        </w:rPr>
      </w:pPr>
    </w:p>
    <w:p w14:paraId="01C3ADBB" w14:textId="27812300" w:rsidR="00E43055" w:rsidRPr="009E635A" w:rsidRDefault="002A733C" w:rsidP="00EF7606">
      <w:pPr>
        <w:pStyle w:val="ListParagraph"/>
        <w:numPr>
          <w:ilvl w:val="0"/>
          <w:numId w:val="2"/>
        </w:numPr>
        <w:spacing w:after="0" w:line="240" w:lineRule="auto"/>
        <w:jc w:val="both"/>
        <w:rPr>
          <w:rStyle w:val="Hyperlink"/>
          <w:rFonts w:cstheme="minorHAnsi"/>
          <w:color w:val="000000" w:themeColor="text1"/>
          <w:u w:val="none"/>
        </w:rPr>
      </w:pPr>
      <w:r w:rsidRPr="009E635A">
        <w:rPr>
          <w:rFonts w:cstheme="minorHAnsi"/>
          <w:color w:val="000000" w:themeColor="text1"/>
        </w:rPr>
        <w:t xml:space="preserve">If the individual is </w:t>
      </w:r>
      <w:r w:rsidR="00E43055" w:rsidRPr="009E635A">
        <w:rPr>
          <w:rFonts w:cstheme="minorHAnsi"/>
          <w:color w:val="000000" w:themeColor="text1"/>
        </w:rPr>
        <w:t>unbefriend</w:t>
      </w:r>
      <w:r w:rsidRPr="009E635A">
        <w:rPr>
          <w:rFonts w:cstheme="minorHAnsi"/>
          <w:color w:val="000000" w:themeColor="text1"/>
        </w:rPr>
        <w:t xml:space="preserve">  or if it appears as if the carer </w:t>
      </w:r>
      <w:r w:rsidR="00E43055" w:rsidRPr="009E635A">
        <w:rPr>
          <w:rFonts w:cstheme="minorHAnsi"/>
          <w:color w:val="000000" w:themeColor="text1"/>
        </w:rPr>
        <w:t xml:space="preserve"> or </w:t>
      </w:r>
      <w:r w:rsidRPr="009E635A">
        <w:rPr>
          <w:rFonts w:cstheme="minorHAnsi"/>
          <w:color w:val="000000" w:themeColor="text1"/>
        </w:rPr>
        <w:t xml:space="preserve">family are making decisions that are not in line with the </w:t>
      </w:r>
      <w:r w:rsidR="00E43055" w:rsidRPr="009E635A">
        <w:rPr>
          <w:rFonts w:cstheme="minorHAnsi"/>
          <w:color w:val="000000" w:themeColor="text1"/>
        </w:rPr>
        <w:t>individuals’</w:t>
      </w:r>
      <w:r w:rsidRPr="009E635A">
        <w:rPr>
          <w:rFonts w:cstheme="minorHAnsi"/>
          <w:color w:val="000000" w:themeColor="text1"/>
        </w:rPr>
        <w:t xml:space="preserve"> best interests and for cases </w:t>
      </w:r>
      <w:r w:rsidR="00E43055" w:rsidRPr="009E635A">
        <w:rPr>
          <w:rFonts w:cstheme="minorHAnsi"/>
          <w:color w:val="000000" w:themeColor="text1"/>
        </w:rPr>
        <w:t>where</w:t>
      </w:r>
      <w:r w:rsidRPr="009E635A">
        <w:rPr>
          <w:rFonts w:cstheme="minorHAnsi"/>
          <w:color w:val="000000" w:themeColor="text1"/>
        </w:rPr>
        <w:t xml:space="preserve"> it is envisaged that the </w:t>
      </w:r>
      <w:r w:rsidR="00E43055" w:rsidRPr="009E635A">
        <w:rPr>
          <w:rFonts w:cstheme="minorHAnsi"/>
          <w:color w:val="000000" w:themeColor="text1"/>
        </w:rPr>
        <w:t>individual</w:t>
      </w:r>
      <w:r w:rsidRPr="009E635A">
        <w:rPr>
          <w:rFonts w:cstheme="minorHAnsi"/>
          <w:color w:val="000000" w:themeColor="text1"/>
        </w:rPr>
        <w:t xml:space="preserve"> would actively resist the </w:t>
      </w:r>
      <w:r w:rsidR="00E43055" w:rsidRPr="009E635A">
        <w:rPr>
          <w:rFonts w:cstheme="minorHAnsi"/>
          <w:color w:val="000000" w:themeColor="text1"/>
        </w:rPr>
        <w:t>administration</w:t>
      </w:r>
      <w:r w:rsidRPr="009E635A">
        <w:rPr>
          <w:rFonts w:cstheme="minorHAnsi"/>
          <w:color w:val="000000" w:themeColor="text1"/>
        </w:rPr>
        <w:t xml:space="preserve"> of the vaccine it is good</w:t>
      </w:r>
      <w:r w:rsidR="00E43055" w:rsidRPr="009E635A">
        <w:rPr>
          <w:rFonts w:cstheme="minorHAnsi"/>
          <w:color w:val="000000" w:themeColor="text1"/>
        </w:rPr>
        <w:t xml:space="preserve"> practice</w:t>
      </w:r>
      <w:r w:rsidRPr="009E635A">
        <w:rPr>
          <w:rFonts w:cstheme="minorHAnsi"/>
          <w:color w:val="000000" w:themeColor="text1"/>
        </w:rPr>
        <w:t xml:space="preserve"> to</w:t>
      </w:r>
      <w:r w:rsidR="00E43055" w:rsidRPr="009E635A">
        <w:rPr>
          <w:rFonts w:cstheme="minorHAnsi"/>
          <w:color w:val="000000" w:themeColor="text1"/>
        </w:rPr>
        <w:t xml:space="preserve"> </w:t>
      </w:r>
      <w:hyperlink r:id="rId10" w:history="1">
        <w:r w:rsidR="00E43055" w:rsidRPr="009E635A">
          <w:rPr>
            <w:rStyle w:val="Hyperlink"/>
            <w:rFonts w:cstheme="minorHAnsi"/>
          </w:rPr>
          <w:t>make a referral for advocacy services – The Advonet Group</w:t>
        </w:r>
      </w:hyperlink>
    </w:p>
    <w:p w14:paraId="4E46BC6B" w14:textId="77777777" w:rsidR="00EF6DB9" w:rsidRPr="009E635A" w:rsidRDefault="00EF6DB9" w:rsidP="00EF6DB9">
      <w:pPr>
        <w:pStyle w:val="ListParagraph"/>
        <w:rPr>
          <w:rFonts w:cstheme="minorHAnsi"/>
          <w:color w:val="000000" w:themeColor="text1"/>
        </w:rPr>
      </w:pPr>
    </w:p>
    <w:p w14:paraId="20288A1A" w14:textId="4F2BCC44" w:rsidR="00EF6DB9" w:rsidRPr="009E635A" w:rsidRDefault="00EF6DB9" w:rsidP="00EF7606">
      <w:pPr>
        <w:pStyle w:val="ListParagraph"/>
        <w:numPr>
          <w:ilvl w:val="0"/>
          <w:numId w:val="2"/>
        </w:numPr>
        <w:spacing w:after="0" w:line="240" w:lineRule="auto"/>
        <w:jc w:val="both"/>
        <w:rPr>
          <w:rFonts w:cstheme="minorHAnsi"/>
          <w:color w:val="000000" w:themeColor="text1"/>
        </w:rPr>
      </w:pPr>
      <w:r w:rsidRPr="009E635A">
        <w:rPr>
          <w:rFonts w:cstheme="minorHAnsi"/>
          <w:color w:val="000000" w:themeColor="text1"/>
        </w:rPr>
        <w:t>For cases where significant others are not acting in the best interest</w:t>
      </w:r>
      <w:r w:rsidR="0017311A">
        <w:rPr>
          <w:rFonts w:cstheme="minorHAnsi"/>
          <w:color w:val="000000" w:themeColor="text1"/>
        </w:rPr>
        <w:t>s</w:t>
      </w:r>
      <w:r w:rsidRPr="009E635A">
        <w:rPr>
          <w:rFonts w:cstheme="minorHAnsi"/>
          <w:color w:val="000000" w:themeColor="text1"/>
        </w:rPr>
        <w:t xml:space="preserve"> of the individual and the individual needs to be safeguarded </w:t>
      </w:r>
      <w:r w:rsidR="007765B7">
        <w:rPr>
          <w:rFonts w:cstheme="minorHAnsi"/>
          <w:color w:val="000000" w:themeColor="text1"/>
        </w:rPr>
        <w:t xml:space="preserve">the case can be discussed with </w:t>
      </w:r>
      <w:r w:rsidRPr="009E635A">
        <w:rPr>
          <w:rFonts w:cstheme="minorHAnsi"/>
          <w:color w:val="000000" w:themeColor="text1"/>
        </w:rPr>
        <w:t>the safeguarding team</w:t>
      </w:r>
      <w:r w:rsidR="007765B7">
        <w:rPr>
          <w:rFonts w:cstheme="minorHAnsi"/>
          <w:color w:val="000000" w:themeColor="text1"/>
        </w:rPr>
        <w:t xml:space="preserve"> at </w:t>
      </w:r>
      <w:hyperlink r:id="rId11" w:history="1">
        <w:r w:rsidR="007765B7" w:rsidRPr="006B4157">
          <w:rPr>
            <w:rStyle w:val="Hyperlink"/>
            <w:rFonts w:cstheme="minorHAnsi"/>
          </w:rPr>
          <w:t>leeds.safeguarding@nhs.net</w:t>
        </w:r>
      </w:hyperlink>
      <w:r w:rsidR="007765B7">
        <w:rPr>
          <w:rFonts w:cstheme="minorHAnsi"/>
          <w:color w:val="000000" w:themeColor="text1"/>
        </w:rPr>
        <w:t xml:space="preserve"> </w:t>
      </w:r>
    </w:p>
    <w:p w14:paraId="13F72C06" w14:textId="77777777" w:rsidR="0059773A" w:rsidRPr="009E635A" w:rsidRDefault="0059773A" w:rsidP="00EF7606">
      <w:pPr>
        <w:spacing w:after="0" w:line="240" w:lineRule="auto"/>
        <w:jc w:val="both"/>
        <w:rPr>
          <w:rFonts w:cstheme="minorHAnsi"/>
          <w:color w:val="000000" w:themeColor="text1"/>
        </w:rPr>
      </w:pPr>
    </w:p>
    <w:p w14:paraId="515D1617" w14:textId="7874C39A" w:rsidR="0059773A" w:rsidRPr="009E635A" w:rsidRDefault="00BC4FC5" w:rsidP="00EF7606">
      <w:pPr>
        <w:pStyle w:val="ListParagraph"/>
        <w:numPr>
          <w:ilvl w:val="0"/>
          <w:numId w:val="2"/>
        </w:numPr>
        <w:spacing w:after="0" w:line="240" w:lineRule="auto"/>
        <w:jc w:val="both"/>
        <w:rPr>
          <w:rFonts w:cstheme="minorHAnsi"/>
          <w:color w:val="000000" w:themeColor="text1"/>
        </w:rPr>
      </w:pPr>
      <w:r w:rsidRPr="009E635A">
        <w:rPr>
          <w:rFonts w:cstheme="minorHAnsi"/>
          <w:color w:val="000000" w:themeColor="text1"/>
        </w:rPr>
        <w:t xml:space="preserve">If there are difference of opinion </w:t>
      </w:r>
      <w:r w:rsidR="00CB136D" w:rsidRPr="009E635A">
        <w:rPr>
          <w:rFonts w:cstheme="minorHAnsi"/>
          <w:color w:val="000000" w:themeColor="text1"/>
        </w:rPr>
        <w:t>on best interest</w:t>
      </w:r>
      <w:r w:rsidR="0017311A">
        <w:rPr>
          <w:rFonts w:cstheme="minorHAnsi"/>
          <w:color w:val="000000" w:themeColor="text1"/>
        </w:rPr>
        <w:t>s</w:t>
      </w:r>
      <w:r w:rsidR="000955AC" w:rsidRPr="009E635A">
        <w:rPr>
          <w:rFonts w:cstheme="minorHAnsi"/>
          <w:color w:val="000000" w:themeColor="text1"/>
        </w:rPr>
        <w:t>,</w:t>
      </w:r>
      <w:r w:rsidRPr="009E635A">
        <w:rPr>
          <w:rFonts w:cstheme="minorHAnsi"/>
          <w:color w:val="000000" w:themeColor="text1"/>
        </w:rPr>
        <w:t xml:space="preserve"> try to resolve these </w:t>
      </w:r>
      <w:r w:rsidR="004C12FE" w:rsidRPr="009E635A">
        <w:rPr>
          <w:rFonts w:cstheme="minorHAnsi"/>
          <w:color w:val="000000" w:themeColor="text1"/>
        </w:rPr>
        <w:t>b</w:t>
      </w:r>
      <w:r w:rsidR="00213B6D" w:rsidRPr="009E635A">
        <w:rPr>
          <w:rFonts w:cstheme="minorHAnsi"/>
          <w:color w:val="000000" w:themeColor="text1"/>
        </w:rPr>
        <w:t>y compassionate respectful</w:t>
      </w:r>
      <w:r w:rsidR="00E43055" w:rsidRPr="009E635A">
        <w:rPr>
          <w:rFonts w:cstheme="minorHAnsi"/>
          <w:color w:val="000000" w:themeColor="text1"/>
        </w:rPr>
        <w:t>, non-judgemental</w:t>
      </w:r>
      <w:r w:rsidR="00213B6D" w:rsidRPr="009E635A">
        <w:rPr>
          <w:rFonts w:cstheme="minorHAnsi"/>
          <w:color w:val="000000" w:themeColor="text1"/>
        </w:rPr>
        <w:t xml:space="preserve"> dialogue. </w:t>
      </w:r>
      <w:r w:rsidR="00CB136D" w:rsidRPr="009E635A">
        <w:rPr>
          <w:rFonts w:cstheme="minorHAnsi"/>
          <w:color w:val="000000" w:themeColor="text1"/>
        </w:rPr>
        <w:t xml:space="preserve">MCA </w:t>
      </w:r>
      <w:r w:rsidR="00213B6D" w:rsidRPr="009E635A">
        <w:rPr>
          <w:rFonts w:cstheme="minorHAnsi"/>
          <w:color w:val="000000" w:themeColor="text1"/>
        </w:rPr>
        <w:t>L</w:t>
      </w:r>
      <w:r w:rsidR="00CB136D" w:rsidRPr="009E635A">
        <w:rPr>
          <w:rFonts w:cstheme="minorHAnsi"/>
          <w:color w:val="000000" w:themeColor="text1"/>
        </w:rPr>
        <w:t>ead is also</w:t>
      </w:r>
      <w:r w:rsidR="00730BA8" w:rsidRPr="009E635A">
        <w:rPr>
          <w:rFonts w:cstheme="minorHAnsi"/>
          <w:color w:val="000000" w:themeColor="text1"/>
        </w:rPr>
        <w:t xml:space="preserve"> available for a</w:t>
      </w:r>
      <w:r w:rsidR="00A624AC" w:rsidRPr="009E635A">
        <w:rPr>
          <w:rFonts w:cstheme="minorHAnsi"/>
          <w:color w:val="000000" w:themeColor="text1"/>
        </w:rPr>
        <w:t xml:space="preserve">dvice </w:t>
      </w:r>
      <w:r w:rsidR="00213B6D" w:rsidRPr="009E635A">
        <w:rPr>
          <w:rFonts w:cstheme="minorHAnsi"/>
          <w:color w:val="000000" w:themeColor="text1"/>
        </w:rPr>
        <w:t xml:space="preserve">on next steps and </w:t>
      </w:r>
      <w:r w:rsidR="00A624AC" w:rsidRPr="009E635A">
        <w:rPr>
          <w:rFonts w:cstheme="minorHAnsi"/>
          <w:color w:val="000000" w:themeColor="text1"/>
        </w:rPr>
        <w:t>support</w:t>
      </w:r>
      <w:r w:rsidR="00E43055" w:rsidRPr="009E635A">
        <w:rPr>
          <w:rFonts w:cstheme="minorHAnsi"/>
          <w:color w:val="000000" w:themeColor="text1"/>
        </w:rPr>
        <w:t>.</w:t>
      </w:r>
    </w:p>
    <w:p w14:paraId="2C5B9B2F" w14:textId="77777777" w:rsidR="0059773A" w:rsidRPr="009E635A" w:rsidRDefault="0059773A" w:rsidP="00EF7606">
      <w:pPr>
        <w:spacing w:after="0" w:line="240" w:lineRule="auto"/>
        <w:jc w:val="both"/>
        <w:rPr>
          <w:rFonts w:cstheme="minorHAnsi"/>
          <w:color w:val="000000" w:themeColor="text1"/>
        </w:rPr>
      </w:pPr>
    </w:p>
    <w:p w14:paraId="081E2BBA" w14:textId="77777777" w:rsidR="006A69A7" w:rsidRDefault="000955AC" w:rsidP="00EF7606">
      <w:pPr>
        <w:pStyle w:val="ListParagraph"/>
        <w:numPr>
          <w:ilvl w:val="0"/>
          <w:numId w:val="2"/>
        </w:numPr>
        <w:spacing w:after="0" w:line="240" w:lineRule="auto"/>
        <w:jc w:val="both"/>
        <w:rPr>
          <w:rFonts w:cstheme="minorHAnsi"/>
          <w:color w:val="000000" w:themeColor="text1"/>
        </w:rPr>
      </w:pPr>
      <w:r w:rsidRPr="009E635A">
        <w:rPr>
          <w:rFonts w:cstheme="minorHAnsi"/>
          <w:color w:val="000000" w:themeColor="text1"/>
        </w:rPr>
        <w:t>No carer or family can refuse or accept the vaccine on behalf of someone who</w:t>
      </w:r>
      <w:r w:rsidR="00E43055" w:rsidRPr="009E635A">
        <w:rPr>
          <w:rFonts w:cstheme="minorHAnsi"/>
          <w:color w:val="000000" w:themeColor="text1"/>
        </w:rPr>
        <w:t xml:space="preserve"> is 1</w:t>
      </w:r>
      <w:r w:rsidR="006A69A7">
        <w:rPr>
          <w:rFonts w:cstheme="minorHAnsi"/>
          <w:color w:val="000000" w:themeColor="text1"/>
        </w:rPr>
        <w:t>8</w:t>
      </w:r>
      <w:r w:rsidR="00E43055" w:rsidRPr="009E635A">
        <w:rPr>
          <w:rFonts w:cstheme="minorHAnsi"/>
          <w:color w:val="000000" w:themeColor="text1"/>
        </w:rPr>
        <w:t xml:space="preserve"> years and above who</w:t>
      </w:r>
      <w:r w:rsidRPr="009E635A">
        <w:rPr>
          <w:rFonts w:cstheme="minorHAnsi"/>
          <w:color w:val="000000" w:themeColor="text1"/>
        </w:rPr>
        <w:t xml:space="preserve"> may lack capacity except as indicted above for those with LPA and deputies and within the </w:t>
      </w:r>
      <w:r w:rsidR="00E43055" w:rsidRPr="009E635A">
        <w:rPr>
          <w:rFonts w:cstheme="minorHAnsi"/>
          <w:color w:val="000000" w:themeColor="text1"/>
        </w:rPr>
        <w:t xml:space="preserve">confines of </w:t>
      </w:r>
      <w:r w:rsidRPr="009E635A">
        <w:rPr>
          <w:rFonts w:cstheme="minorHAnsi"/>
          <w:color w:val="000000" w:themeColor="text1"/>
        </w:rPr>
        <w:t>best interest</w:t>
      </w:r>
      <w:r w:rsidR="00670CD1" w:rsidRPr="009E635A">
        <w:rPr>
          <w:rFonts w:cstheme="minorHAnsi"/>
          <w:color w:val="000000" w:themeColor="text1"/>
        </w:rPr>
        <w:t>s</w:t>
      </w:r>
      <w:r w:rsidRPr="009E635A">
        <w:rPr>
          <w:rFonts w:cstheme="minorHAnsi"/>
          <w:color w:val="000000" w:themeColor="text1"/>
        </w:rPr>
        <w:t>.</w:t>
      </w:r>
    </w:p>
    <w:p w14:paraId="08802FBA" w14:textId="77777777" w:rsidR="006A69A7" w:rsidRDefault="006A69A7" w:rsidP="006A69A7">
      <w:pPr>
        <w:pStyle w:val="ListParagraph"/>
      </w:pPr>
    </w:p>
    <w:p w14:paraId="081CB6FE" w14:textId="601281F0" w:rsidR="0059773A" w:rsidRPr="009E635A" w:rsidRDefault="00FD015E" w:rsidP="00EF7606">
      <w:pPr>
        <w:pStyle w:val="ListParagraph"/>
        <w:numPr>
          <w:ilvl w:val="0"/>
          <w:numId w:val="2"/>
        </w:numPr>
        <w:spacing w:after="0" w:line="240" w:lineRule="auto"/>
        <w:jc w:val="both"/>
        <w:rPr>
          <w:rFonts w:cstheme="minorHAnsi"/>
          <w:color w:val="000000" w:themeColor="text1"/>
        </w:rPr>
      </w:pPr>
      <w:r w:rsidRPr="00FD015E">
        <w:t xml:space="preserve"> </w:t>
      </w:r>
      <w:r w:rsidRPr="00FD015E">
        <w:rPr>
          <w:rFonts w:cstheme="minorHAnsi"/>
          <w:color w:val="000000" w:themeColor="text1"/>
        </w:rPr>
        <w:t>Like adults, young people (aged 16 or 17) are presumed to have sufficient capacity to decide on their own medical treatment, unless there's significant evidence to suggest otherwise</w:t>
      </w:r>
      <w:r>
        <w:rPr>
          <w:rFonts w:cstheme="minorHAnsi"/>
          <w:color w:val="000000" w:themeColor="text1"/>
        </w:rPr>
        <w:t xml:space="preserve"> and for exceptional circumstances.</w:t>
      </w:r>
      <w:r w:rsidR="00CF2F82">
        <w:rPr>
          <w:rFonts w:cstheme="minorHAnsi"/>
          <w:color w:val="000000" w:themeColor="text1"/>
        </w:rPr>
        <w:t xml:space="preserve"> It is however good practice to involve </w:t>
      </w:r>
      <w:r w:rsidR="006A69A7">
        <w:rPr>
          <w:rFonts w:cstheme="minorHAnsi"/>
          <w:color w:val="000000" w:themeColor="text1"/>
        </w:rPr>
        <w:t xml:space="preserve">those with parental responsibility </w:t>
      </w:r>
      <w:r w:rsidR="00CF2F82">
        <w:rPr>
          <w:rFonts w:cstheme="minorHAnsi"/>
          <w:color w:val="000000" w:themeColor="text1"/>
        </w:rPr>
        <w:t>as much as possible.</w:t>
      </w:r>
      <w:r w:rsidR="006A69A7">
        <w:rPr>
          <w:rFonts w:cstheme="minorHAnsi"/>
          <w:color w:val="000000" w:themeColor="text1"/>
        </w:rPr>
        <w:t xml:space="preserve"> If they lack capacity those with parental responsibility can consent on their behalf.</w:t>
      </w:r>
      <w:r w:rsidR="006A69A7" w:rsidRPr="006A69A7">
        <w:t xml:space="preserve"> </w:t>
      </w:r>
      <w:r w:rsidR="006A0EA6">
        <w:t xml:space="preserve">See </w:t>
      </w:r>
      <w:hyperlink r:id="rId12" w:history="1">
        <w:r w:rsidR="006A0EA6">
          <w:rPr>
            <w:color w:val="0000FF"/>
            <w:u w:val="single"/>
          </w:rPr>
          <w:t xml:space="preserve">NICE Guidance: consent for under 18 </w:t>
        </w:r>
      </w:hyperlink>
    </w:p>
    <w:p w14:paraId="722171EE" w14:textId="77777777" w:rsidR="0059773A" w:rsidRPr="009E635A" w:rsidRDefault="0059773A" w:rsidP="00EF7606">
      <w:pPr>
        <w:spacing w:after="0" w:line="240" w:lineRule="auto"/>
        <w:jc w:val="both"/>
        <w:rPr>
          <w:rFonts w:cstheme="minorHAnsi"/>
          <w:color w:val="000000" w:themeColor="text1"/>
        </w:rPr>
      </w:pPr>
    </w:p>
    <w:p w14:paraId="7C37FA5E" w14:textId="77777777" w:rsidR="002316CF" w:rsidRPr="009E635A" w:rsidRDefault="00BD1E74" w:rsidP="00EF7606">
      <w:pPr>
        <w:pStyle w:val="ListParagraph"/>
        <w:numPr>
          <w:ilvl w:val="0"/>
          <w:numId w:val="2"/>
        </w:numPr>
        <w:spacing w:after="0" w:line="240" w:lineRule="auto"/>
        <w:jc w:val="both"/>
        <w:rPr>
          <w:rFonts w:cstheme="minorHAnsi"/>
          <w:color w:val="000000" w:themeColor="text1"/>
        </w:rPr>
      </w:pPr>
      <w:r w:rsidRPr="009E635A">
        <w:rPr>
          <w:rFonts w:cstheme="minorHAnsi"/>
          <w:color w:val="000000" w:themeColor="text1"/>
        </w:rPr>
        <w:t>Where disputes are not getting resolved time should not be wasted going back and forth but decision should be made to seek C</w:t>
      </w:r>
      <w:r w:rsidR="00A038E3" w:rsidRPr="009E635A">
        <w:rPr>
          <w:rFonts w:cstheme="minorHAnsi"/>
          <w:color w:val="000000" w:themeColor="text1"/>
        </w:rPr>
        <w:t xml:space="preserve">ourt of Protection (COP) </w:t>
      </w:r>
      <w:r w:rsidRPr="009E635A">
        <w:rPr>
          <w:rFonts w:cstheme="minorHAnsi"/>
          <w:color w:val="000000" w:themeColor="text1"/>
        </w:rPr>
        <w:t>g</w:t>
      </w:r>
      <w:r w:rsidR="001A6A56" w:rsidRPr="009E635A">
        <w:rPr>
          <w:rFonts w:cstheme="minorHAnsi"/>
          <w:color w:val="000000" w:themeColor="text1"/>
        </w:rPr>
        <w:t>uidance</w:t>
      </w:r>
      <w:r w:rsidR="00CB136D" w:rsidRPr="009E635A">
        <w:rPr>
          <w:rFonts w:cstheme="minorHAnsi"/>
          <w:color w:val="000000" w:themeColor="text1"/>
        </w:rPr>
        <w:t>,</w:t>
      </w:r>
      <w:r w:rsidR="001A6A56" w:rsidRPr="009E635A">
        <w:rPr>
          <w:rFonts w:cstheme="minorHAnsi"/>
          <w:color w:val="000000" w:themeColor="text1"/>
        </w:rPr>
        <w:t xml:space="preserve"> again consult with MCA L</w:t>
      </w:r>
      <w:r w:rsidRPr="009E635A">
        <w:rPr>
          <w:rFonts w:cstheme="minorHAnsi"/>
          <w:color w:val="000000" w:themeColor="text1"/>
        </w:rPr>
        <w:t xml:space="preserve">ead and your managers first to see if this is warranted </w:t>
      </w:r>
    </w:p>
    <w:p w14:paraId="0A8CDDF0" w14:textId="77777777" w:rsidR="002316CF" w:rsidRPr="009E635A" w:rsidRDefault="002316CF" w:rsidP="00EF7606">
      <w:pPr>
        <w:pStyle w:val="ListParagraph"/>
        <w:spacing w:line="240" w:lineRule="auto"/>
        <w:rPr>
          <w:rFonts w:cstheme="minorHAnsi"/>
          <w:color w:val="000000" w:themeColor="text1"/>
        </w:rPr>
      </w:pPr>
    </w:p>
    <w:p w14:paraId="1342A42F" w14:textId="648AA9BA" w:rsidR="0059773A" w:rsidRPr="009E635A" w:rsidRDefault="00BD1E74" w:rsidP="00EF7606">
      <w:pPr>
        <w:pStyle w:val="ListParagraph"/>
        <w:numPr>
          <w:ilvl w:val="0"/>
          <w:numId w:val="2"/>
        </w:numPr>
        <w:spacing w:after="0" w:line="240" w:lineRule="auto"/>
        <w:jc w:val="both"/>
        <w:rPr>
          <w:rFonts w:cstheme="minorHAnsi"/>
          <w:color w:val="000000" w:themeColor="text1"/>
        </w:rPr>
      </w:pPr>
      <w:r w:rsidRPr="009E635A">
        <w:rPr>
          <w:rFonts w:cstheme="minorHAnsi"/>
          <w:color w:val="000000" w:themeColor="text1"/>
        </w:rPr>
        <w:t>COP guidance might also be needed and usefu</w:t>
      </w:r>
      <w:r w:rsidR="001A6A56" w:rsidRPr="009E635A">
        <w:rPr>
          <w:rFonts w:cstheme="minorHAnsi"/>
          <w:color w:val="000000" w:themeColor="text1"/>
        </w:rPr>
        <w:t>l</w:t>
      </w:r>
      <w:r w:rsidRPr="009E635A">
        <w:rPr>
          <w:rFonts w:cstheme="minorHAnsi"/>
          <w:color w:val="000000" w:themeColor="text1"/>
        </w:rPr>
        <w:t xml:space="preserve"> </w:t>
      </w:r>
      <w:r w:rsidR="00CB136D" w:rsidRPr="009E635A">
        <w:rPr>
          <w:rFonts w:cstheme="minorHAnsi"/>
          <w:color w:val="000000" w:themeColor="text1"/>
        </w:rPr>
        <w:t>for complex</w:t>
      </w:r>
      <w:r w:rsidRPr="009E635A">
        <w:rPr>
          <w:rFonts w:cstheme="minorHAnsi"/>
          <w:color w:val="000000" w:themeColor="text1"/>
        </w:rPr>
        <w:t xml:space="preserve"> cases for example where there</w:t>
      </w:r>
      <w:r w:rsidR="001A6A56" w:rsidRPr="009E635A">
        <w:rPr>
          <w:rFonts w:cstheme="minorHAnsi"/>
          <w:color w:val="000000" w:themeColor="text1"/>
        </w:rPr>
        <w:t xml:space="preserve"> are </w:t>
      </w:r>
      <w:r w:rsidR="00EC4DB9" w:rsidRPr="009E635A">
        <w:rPr>
          <w:rFonts w:cstheme="minorHAnsi"/>
          <w:color w:val="000000" w:themeColor="text1"/>
        </w:rPr>
        <w:t xml:space="preserve">significant unresolved </w:t>
      </w:r>
      <w:r w:rsidR="00BF6921" w:rsidRPr="009E635A">
        <w:rPr>
          <w:rFonts w:cstheme="minorHAnsi"/>
          <w:color w:val="000000" w:themeColor="text1"/>
        </w:rPr>
        <w:t xml:space="preserve">disputes on best interests, </w:t>
      </w:r>
      <w:r w:rsidR="001A6A56" w:rsidRPr="009E635A">
        <w:rPr>
          <w:rFonts w:cstheme="minorHAnsi"/>
          <w:color w:val="000000" w:themeColor="text1"/>
        </w:rPr>
        <w:t>concerns around fear of needles</w:t>
      </w:r>
      <w:r w:rsidR="00BF6921" w:rsidRPr="009E635A">
        <w:rPr>
          <w:rFonts w:cstheme="minorHAnsi"/>
          <w:color w:val="000000" w:themeColor="text1"/>
        </w:rPr>
        <w:t xml:space="preserve">, </w:t>
      </w:r>
      <w:r w:rsidR="00CB136D" w:rsidRPr="009E635A">
        <w:rPr>
          <w:rFonts w:cstheme="minorHAnsi"/>
          <w:color w:val="000000" w:themeColor="text1"/>
        </w:rPr>
        <w:t>restraint</w:t>
      </w:r>
      <w:r w:rsidR="002316CF" w:rsidRPr="009E635A">
        <w:rPr>
          <w:rFonts w:cstheme="minorHAnsi"/>
          <w:color w:val="000000" w:themeColor="text1"/>
        </w:rPr>
        <w:t>. Again, consult with M</w:t>
      </w:r>
      <w:r w:rsidR="00E43055" w:rsidRPr="009E635A">
        <w:rPr>
          <w:rFonts w:cstheme="minorHAnsi"/>
          <w:color w:val="000000" w:themeColor="text1"/>
        </w:rPr>
        <w:t>CA</w:t>
      </w:r>
      <w:r w:rsidR="002316CF" w:rsidRPr="009E635A">
        <w:rPr>
          <w:rFonts w:cstheme="minorHAnsi"/>
          <w:color w:val="000000" w:themeColor="text1"/>
        </w:rPr>
        <w:t xml:space="preserve"> lead who will take a lead on next steps and consult with senior mangers in relation to legal advice and the option of seeking Court of Protection guidance.</w:t>
      </w:r>
      <w:r w:rsidR="0002568D" w:rsidRPr="009E635A">
        <w:rPr>
          <w:rFonts w:cstheme="minorHAnsi"/>
          <w:color w:val="000000" w:themeColor="text1"/>
        </w:rPr>
        <w:t xml:space="preserve"> </w:t>
      </w:r>
    </w:p>
    <w:p w14:paraId="5D9409A3" w14:textId="77777777" w:rsidR="0059773A" w:rsidRPr="009E635A" w:rsidRDefault="0059773A" w:rsidP="00EF7606">
      <w:pPr>
        <w:spacing w:after="0" w:line="240" w:lineRule="auto"/>
        <w:jc w:val="both"/>
        <w:rPr>
          <w:rFonts w:cstheme="minorHAnsi"/>
          <w:color w:val="000000" w:themeColor="text1"/>
        </w:rPr>
      </w:pPr>
    </w:p>
    <w:p w14:paraId="267535EE" w14:textId="63DFAC1A" w:rsidR="002F4A53" w:rsidRDefault="00084AED" w:rsidP="002F4A53">
      <w:pPr>
        <w:pStyle w:val="ListParagraph"/>
        <w:numPr>
          <w:ilvl w:val="0"/>
          <w:numId w:val="2"/>
        </w:numPr>
        <w:spacing w:after="0" w:line="240" w:lineRule="auto"/>
        <w:rPr>
          <w:rFonts w:cstheme="minorHAnsi"/>
          <w:color w:val="000000" w:themeColor="text1"/>
        </w:rPr>
      </w:pPr>
      <w:r>
        <w:rPr>
          <w:rFonts w:cstheme="minorHAnsi"/>
          <w:color w:val="000000" w:themeColor="text1"/>
        </w:rPr>
        <w:t>D</w:t>
      </w:r>
      <w:r w:rsidR="008627AE" w:rsidRPr="009E635A">
        <w:rPr>
          <w:rFonts w:cstheme="minorHAnsi"/>
          <w:color w:val="000000" w:themeColor="text1"/>
        </w:rPr>
        <w:t>ocument</w:t>
      </w:r>
      <w:r w:rsidR="00A624AC" w:rsidRPr="009E635A">
        <w:rPr>
          <w:rFonts w:cstheme="minorHAnsi"/>
          <w:color w:val="000000" w:themeColor="text1"/>
        </w:rPr>
        <w:t xml:space="preserve"> capacity assessments</w:t>
      </w:r>
      <w:r w:rsidR="000B725F" w:rsidRPr="009E635A">
        <w:rPr>
          <w:rFonts w:cstheme="minorHAnsi"/>
          <w:color w:val="000000" w:themeColor="text1"/>
        </w:rPr>
        <w:t xml:space="preserve"> and</w:t>
      </w:r>
      <w:r w:rsidR="00A624AC" w:rsidRPr="009E635A">
        <w:rPr>
          <w:rFonts w:cstheme="minorHAnsi"/>
          <w:color w:val="000000" w:themeColor="text1"/>
        </w:rPr>
        <w:t xml:space="preserve"> best interest</w:t>
      </w:r>
      <w:r w:rsidR="000B725F" w:rsidRPr="009E635A">
        <w:rPr>
          <w:rFonts w:cstheme="minorHAnsi"/>
          <w:color w:val="000000" w:themeColor="text1"/>
        </w:rPr>
        <w:t>s. K</w:t>
      </w:r>
      <w:r w:rsidR="00A624AC" w:rsidRPr="009E635A">
        <w:rPr>
          <w:rFonts w:cstheme="minorHAnsi"/>
          <w:color w:val="000000" w:themeColor="text1"/>
        </w:rPr>
        <w:t>eep it brief and to the point</w:t>
      </w:r>
      <w:r w:rsidR="000B725F" w:rsidRPr="009E635A">
        <w:rPr>
          <w:rFonts w:cstheme="minorHAnsi"/>
          <w:color w:val="000000" w:themeColor="text1"/>
        </w:rPr>
        <w:t xml:space="preserve"> for most cases</w:t>
      </w:r>
      <w:r w:rsidR="008627AE" w:rsidRPr="009E635A">
        <w:rPr>
          <w:rFonts w:cstheme="minorHAnsi"/>
          <w:color w:val="000000" w:themeColor="text1"/>
        </w:rPr>
        <w:t>. For complex or disputed cases do a more detailed record</w:t>
      </w:r>
      <w:r w:rsidR="00A038E3" w:rsidRPr="009E635A">
        <w:rPr>
          <w:rFonts w:cstheme="minorHAnsi"/>
          <w:color w:val="000000" w:themeColor="text1"/>
        </w:rPr>
        <w:t xml:space="preserve"> to evidence your decision-making process bearing in mind these might end up being needed in the COP</w:t>
      </w:r>
      <w:r w:rsidR="000B725F" w:rsidRPr="009E635A">
        <w:rPr>
          <w:rFonts w:cstheme="minorHAnsi"/>
          <w:color w:val="000000" w:themeColor="text1"/>
        </w:rPr>
        <w:t>. U</w:t>
      </w:r>
      <w:r w:rsidR="00A624AC" w:rsidRPr="009E635A">
        <w:rPr>
          <w:rFonts w:cstheme="minorHAnsi"/>
          <w:color w:val="000000" w:themeColor="text1"/>
        </w:rPr>
        <w:t>sing capacity assessment and best interest</w:t>
      </w:r>
      <w:r w:rsidR="00670CD1" w:rsidRPr="009E635A">
        <w:rPr>
          <w:rFonts w:cstheme="minorHAnsi"/>
          <w:color w:val="000000" w:themeColor="text1"/>
        </w:rPr>
        <w:t xml:space="preserve">s </w:t>
      </w:r>
      <w:r w:rsidR="00A624AC" w:rsidRPr="009E635A">
        <w:rPr>
          <w:rFonts w:cstheme="minorHAnsi"/>
          <w:color w:val="000000" w:themeColor="text1"/>
        </w:rPr>
        <w:t xml:space="preserve">tools can help you structure your findings and evidence your </w:t>
      </w:r>
      <w:r w:rsidR="00CB136D" w:rsidRPr="009E635A">
        <w:rPr>
          <w:rFonts w:cstheme="minorHAnsi"/>
          <w:color w:val="000000" w:themeColor="text1"/>
        </w:rPr>
        <w:t>decision-making</w:t>
      </w:r>
      <w:r w:rsidR="00A624AC" w:rsidRPr="009E635A">
        <w:rPr>
          <w:rFonts w:cstheme="minorHAnsi"/>
          <w:color w:val="000000" w:themeColor="text1"/>
        </w:rPr>
        <w:t xml:space="preserve"> process.</w:t>
      </w:r>
      <w:r w:rsidR="008627AE" w:rsidRPr="009E635A">
        <w:rPr>
          <w:rFonts w:cstheme="minorHAnsi"/>
          <w:color w:val="000000" w:themeColor="text1"/>
        </w:rPr>
        <w:t xml:space="preserve"> </w:t>
      </w:r>
      <w:r w:rsidR="00A038E3" w:rsidRPr="009E635A">
        <w:rPr>
          <w:rFonts w:cstheme="minorHAnsi"/>
          <w:color w:val="000000" w:themeColor="text1"/>
        </w:rPr>
        <w:t xml:space="preserve">Tools to assess capacity and record best interests are on </w:t>
      </w:r>
      <w:r w:rsidR="00670CD1" w:rsidRPr="009E635A">
        <w:rPr>
          <w:rFonts w:cstheme="minorHAnsi"/>
          <w:color w:val="000000" w:themeColor="text1"/>
        </w:rPr>
        <w:t>S</w:t>
      </w:r>
      <w:r w:rsidR="00A038E3" w:rsidRPr="009E635A">
        <w:rPr>
          <w:rFonts w:cstheme="minorHAnsi"/>
          <w:color w:val="000000" w:themeColor="text1"/>
        </w:rPr>
        <w:t>ystems 1 and</w:t>
      </w:r>
      <w:r w:rsidR="00670CD1" w:rsidRPr="009E635A">
        <w:rPr>
          <w:rFonts w:cstheme="minorHAnsi"/>
          <w:color w:val="000000" w:themeColor="text1"/>
        </w:rPr>
        <w:t xml:space="preserve"> Emis. </w:t>
      </w:r>
      <w:r w:rsidR="002316CF" w:rsidRPr="009E635A">
        <w:rPr>
          <w:rFonts w:cstheme="minorHAnsi"/>
          <w:color w:val="000000" w:themeColor="text1"/>
        </w:rPr>
        <w:t xml:space="preserve">Here is a copy </w:t>
      </w:r>
      <w:hyperlink r:id="rId13" w:history="1">
        <w:r w:rsidR="002316CF" w:rsidRPr="009E635A">
          <w:rPr>
            <w:rStyle w:val="Hyperlink"/>
            <w:rFonts w:cstheme="minorHAnsi"/>
            <w:u w:val="none"/>
          </w:rPr>
          <w:t>Mental Capacity Assessment and Best Interests Decision Tool</w:t>
        </w:r>
      </w:hyperlink>
      <w:r w:rsidR="002316CF" w:rsidRPr="009E635A">
        <w:rPr>
          <w:rStyle w:val="Hyperlink"/>
          <w:rFonts w:cstheme="minorHAnsi"/>
          <w:u w:val="none"/>
        </w:rPr>
        <w:t xml:space="preserve"> </w:t>
      </w:r>
      <w:r w:rsidR="002316CF" w:rsidRPr="009E635A">
        <w:rPr>
          <w:rFonts w:cstheme="minorHAnsi"/>
          <w:color w:val="000000" w:themeColor="text1"/>
        </w:rPr>
        <w:t xml:space="preserve"> </w:t>
      </w:r>
    </w:p>
    <w:p w14:paraId="79A2AAFF" w14:textId="77777777" w:rsidR="002F4A53" w:rsidRPr="002F4A53" w:rsidRDefault="002F4A53" w:rsidP="002F4A53">
      <w:pPr>
        <w:pStyle w:val="ListParagraph"/>
        <w:rPr>
          <w:rFonts w:cstheme="minorHAnsi"/>
          <w:color w:val="000000" w:themeColor="text1"/>
        </w:rPr>
      </w:pPr>
    </w:p>
    <w:p w14:paraId="7468112D" w14:textId="1B46B4B3" w:rsidR="002F4A53" w:rsidRPr="006A69A7" w:rsidRDefault="0092762A" w:rsidP="0092762A">
      <w:pPr>
        <w:pStyle w:val="ListParagraph"/>
        <w:numPr>
          <w:ilvl w:val="0"/>
          <w:numId w:val="2"/>
        </w:numPr>
        <w:spacing w:after="0" w:line="240" w:lineRule="auto"/>
        <w:rPr>
          <w:rFonts w:cstheme="minorHAnsi"/>
        </w:rPr>
      </w:pPr>
      <w:r w:rsidRPr="0092762A">
        <w:rPr>
          <w:rFonts w:cstheme="minorHAnsi"/>
          <w:color w:val="000000" w:themeColor="text1"/>
        </w:rPr>
        <w:t xml:space="preserve">Children under the age of 16 can consent to their own </w:t>
      </w:r>
      <w:r>
        <w:rPr>
          <w:rFonts w:cstheme="minorHAnsi"/>
          <w:color w:val="000000" w:themeColor="text1"/>
        </w:rPr>
        <w:t xml:space="preserve">vaccination </w:t>
      </w:r>
      <w:r w:rsidRPr="0092762A">
        <w:rPr>
          <w:rFonts w:cstheme="minorHAnsi"/>
          <w:color w:val="000000" w:themeColor="text1"/>
        </w:rPr>
        <w:t>if they're believed to have enough intelligence, competence and understanding to fully appreciate what's involved in their treatment. This is known as being Gillick competent.</w:t>
      </w:r>
      <w:r>
        <w:rPr>
          <w:rFonts w:cstheme="minorHAnsi"/>
          <w:color w:val="000000" w:themeColor="text1"/>
        </w:rPr>
        <w:t xml:space="preserve"> </w:t>
      </w:r>
      <w:r w:rsidRPr="0092762A">
        <w:rPr>
          <w:rFonts w:cstheme="minorHAnsi"/>
          <w:color w:val="000000" w:themeColor="text1"/>
        </w:rPr>
        <w:t>Otherwise, someone with parental responsibility can consent for them</w:t>
      </w:r>
      <w:r>
        <w:rPr>
          <w:rFonts w:cstheme="minorHAnsi"/>
          <w:color w:val="000000" w:themeColor="text1"/>
        </w:rPr>
        <w:t xml:space="preserve">, for more information see information in the </w:t>
      </w:r>
      <w:hyperlink r:id="rId14" w:history="1">
        <w:r w:rsidR="002F4A53" w:rsidRPr="0092762A">
          <w:rPr>
            <w:color w:val="0000FF"/>
            <w:u w:val="single"/>
          </w:rPr>
          <w:t>Greenbook chapter 2 consent</w:t>
        </w:r>
        <w:r>
          <w:rPr>
            <w:color w:val="0000FF"/>
            <w:u w:val="single"/>
          </w:rPr>
          <w:t>.</w:t>
        </w:r>
        <w:r>
          <w:rPr>
            <w:u w:val="single"/>
          </w:rPr>
          <w:t xml:space="preserve"> </w:t>
        </w:r>
        <w:r w:rsidR="002F4A53" w:rsidRPr="0092762A">
          <w:rPr>
            <w:color w:val="0000FF"/>
            <w:u w:val="single"/>
          </w:rPr>
          <w:t xml:space="preserve"> </w:t>
        </w:r>
      </w:hyperlink>
      <w:r w:rsidR="006A0EA6" w:rsidRPr="006A0EA6">
        <w:t>and in</w:t>
      </w:r>
      <w:r w:rsidR="006A0EA6" w:rsidRPr="006A0EA6">
        <w:rPr>
          <w:u w:val="single"/>
        </w:rPr>
        <w:t xml:space="preserve"> </w:t>
      </w:r>
      <w:bookmarkStart w:id="1" w:name="_Hlk84852042"/>
      <w:r w:rsidR="006A69A7" w:rsidRPr="006A69A7">
        <w:fldChar w:fldCharType="begin"/>
      </w:r>
      <w:r w:rsidR="006A0EA6">
        <w:instrText>HYPERLINK "https://www.cqc.org.uk/sites/default/files/Brief_guide_Capacity_and_consent_in_under_18s%20v3.pdf"</w:instrText>
      </w:r>
      <w:r w:rsidR="006A69A7" w:rsidRPr="006A69A7">
        <w:fldChar w:fldCharType="separate"/>
      </w:r>
      <w:r w:rsidR="006A0EA6">
        <w:rPr>
          <w:color w:val="0000FF"/>
          <w:u w:val="single"/>
        </w:rPr>
        <w:t xml:space="preserve">NICE Guidance: consent for under 18 </w:t>
      </w:r>
      <w:r w:rsidR="006A69A7" w:rsidRPr="006A69A7">
        <w:fldChar w:fldCharType="end"/>
      </w:r>
      <w:bookmarkEnd w:id="1"/>
    </w:p>
    <w:p w14:paraId="526E7A7B" w14:textId="77777777" w:rsidR="0059773A" w:rsidRPr="009E635A" w:rsidRDefault="0059773A" w:rsidP="00EF7606">
      <w:pPr>
        <w:spacing w:after="0" w:line="240" w:lineRule="auto"/>
        <w:rPr>
          <w:rFonts w:cstheme="minorHAnsi"/>
          <w:color w:val="000000" w:themeColor="text1"/>
        </w:rPr>
      </w:pPr>
    </w:p>
    <w:p w14:paraId="1AC2FEE3" w14:textId="1E96584D" w:rsidR="009A684E" w:rsidRPr="00084AED" w:rsidRDefault="00036CAE" w:rsidP="00EF7606">
      <w:pPr>
        <w:pStyle w:val="ListParagraph"/>
        <w:numPr>
          <w:ilvl w:val="0"/>
          <w:numId w:val="2"/>
        </w:numPr>
        <w:spacing w:after="0" w:line="240" w:lineRule="auto"/>
        <w:rPr>
          <w:rFonts w:cstheme="minorHAnsi"/>
          <w:color w:val="000000" w:themeColor="text1"/>
        </w:rPr>
      </w:pPr>
      <w:r w:rsidRPr="009E635A">
        <w:rPr>
          <w:rFonts w:cstheme="minorHAnsi"/>
          <w:color w:val="000000" w:themeColor="text1"/>
        </w:rPr>
        <w:t xml:space="preserve">For any </w:t>
      </w:r>
      <w:r w:rsidR="002316CF" w:rsidRPr="009E635A">
        <w:rPr>
          <w:rFonts w:cstheme="minorHAnsi"/>
          <w:color w:val="000000" w:themeColor="text1"/>
        </w:rPr>
        <w:t xml:space="preserve">specific </w:t>
      </w:r>
      <w:r w:rsidRPr="009E635A">
        <w:rPr>
          <w:rFonts w:cstheme="minorHAnsi"/>
          <w:color w:val="000000" w:themeColor="text1"/>
        </w:rPr>
        <w:t xml:space="preserve">MCA training needs do contact </w:t>
      </w:r>
      <w:r w:rsidR="00F25F5B" w:rsidRPr="009E635A">
        <w:rPr>
          <w:rFonts w:cstheme="minorHAnsi"/>
          <w:color w:val="000000" w:themeColor="text1"/>
        </w:rPr>
        <w:t>the MCA Lead</w:t>
      </w:r>
      <w:r w:rsidRPr="009E635A">
        <w:rPr>
          <w:rFonts w:cstheme="minorHAnsi"/>
          <w:color w:val="000000" w:themeColor="text1"/>
        </w:rPr>
        <w:t xml:space="preserve"> and I will be happy to deliver some bespoke training. I continue to run MCA training on a monthly basis if there are enough delegates.</w:t>
      </w:r>
      <w:r w:rsidR="004C4BA4" w:rsidRPr="009E635A">
        <w:rPr>
          <w:rFonts w:cstheme="minorHAnsi"/>
          <w:color w:val="000000" w:themeColor="text1"/>
        </w:rPr>
        <w:t xml:space="preserve"> Future MCA training dates are 20/10/21, 26/11/21 from 1200-1430. To book email </w:t>
      </w:r>
      <w:r w:rsidR="004C4BA4" w:rsidRPr="009E635A">
        <w:rPr>
          <w:rFonts w:cstheme="minorHAnsi"/>
          <w:bCs/>
        </w:rPr>
        <w:t xml:space="preserve"> </w:t>
      </w:r>
      <w:hyperlink r:id="rId15" w:history="1">
        <w:r w:rsidR="006A69A7" w:rsidRPr="006B4157">
          <w:rPr>
            <w:rStyle w:val="Hyperlink"/>
            <w:rFonts w:cstheme="minorHAnsi"/>
            <w:bCs/>
          </w:rPr>
          <w:t>leeds.safeguarding@nhs.net</w:t>
        </w:r>
      </w:hyperlink>
      <w:r w:rsidR="004C4BA4" w:rsidRPr="009E635A">
        <w:rPr>
          <w:rStyle w:val="Hyperlink"/>
          <w:rFonts w:cstheme="minorHAnsi"/>
          <w:bCs/>
        </w:rPr>
        <w:t xml:space="preserve"> </w:t>
      </w:r>
    </w:p>
    <w:p w14:paraId="6BE4D2C6" w14:textId="5911C9E8" w:rsidR="00036CAE" w:rsidRPr="00084AED" w:rsidRDefault="008627AE" w:rsidP="00EF7606">
      <w:pPr>
        <w:spacing w:after="0" w:line="240" w:lineRule="auto"/>
        <w:rPr>
          <w:rFonts w:cstheme="minorHAnsi"/>
          <w:b/>
        </w:rPr>
      </w:pPr>
      <w:r w:rsidRPr="00084AED">
        <w:rPr>
          <w:rFonts w:cstheme="minorHAnsi"/>
          <w:b/>
        </w:rPr>
        <w:t>Below are</w:t>
      </w:r>
      <w:r w:rsidR="00E43055" w:rsidRPr="00084AED">
        <w:rPr>
          <w:rFonts w:cstheme="minorHAnsi"/>
          <w:b/>
        </w:rPr>
        <w:t xml:space="preserve"> further</w:t>
      </w:r>
      <w:r w:rsidRPr="00084AED">
        <w:rPr>
          <w:rFonts w:cstheme="minorHAnsi"/>
          <w:b/>
        </w:rPr>
        <w:t xml:space="preserve"> links </w:t>
      </w:r>
      <w:r w:rsidR="00756D4E" w:rsidRPr="00084AED">
        <w:rPr>
          <w:rFonts w:cstheme="minorHAnsi"/>
          <w:b/>
        </w:rPr>
        <w:t xml:space="preserve">to </w:t>
      </w:r>
      <w:r w:rsidR="00084AED">
        <w:rPr>
          <w:rFonts w:cstheme="minorHAnsi"/>
          <w:b/>
        </w:rPr>
        <w:t xml:space="preserve">other </w:t>
      </w:r>
      <w:r w:rsidR="00015EDA" w:rsidRPr="00084AED">
        <w:rPr>
          <w:rFonts w:cstheme="minorHAnsi"/>
          <w:b/>
        </w:rPr>
        <w:t>key resources</w:t>
      </w:r>
      <w:r w:rsidR="009A684E" w:rsidRPr="00084AED">
        <w:rPr>
          <w:rFonts w:cstheme="minorHAnsi"/>
          <w:b/>
        </w:rPr>
        <w:t>:</w:t>
      </w:r>
    </w:p>
    <w:p w14:paraId="3C59CBD6" w14:textId="77777777" w:rsidR="0059773A" w:rsidRPr="009E635A" w:rsidRDefault="0059773A" w:rsidP="005C06FD">
      <w:pPr>
        <w:pStyle w:val="ListParagraph"/>
        <w:spacing w:after="0" w:line="240" w:lineRule="auto"/>
        <w:ind w:left="1440"/>
        <w:jc w:val="both"/>
        <w:rPr>
          <w:rFonts w:cstheme="minorHAnsi"/>
          <w:color w:val="000000" w:themeColor="text1"/>
        </w:rPr>
      </w:pPr>
    </w:p>
    <w:bookmarkStart w:id="2" w:name="_Hlk80829211"/>
    <w:p w14:paraId="1BD25F7C" w14:textId="3A668ACE" w:rsidR="00160654" w:rsidRPr="009E635A" w:rsidRDefault="00827075" w:rsidP="005C06FD">
      <w:pPr>
        <w:pStyle w:val="ListParagraph"/>
        <w:numPr>
          <w:ilvl w:val="0"/>
          <w:numId w:val="5"/>
        </w:numPr>
        <w:spacing w:after="0" w:line="240" w:lineRule="auto"/>
        <w:ind w:left="714" w:hanging="357"/>
        <w:rPr>
          <w:rFonts w:cstheme="minorHAnsi"/>
          <w:color w:val="000000" w:themeColor="text1"/>
        </w:rPr>
      </w:pPr>
      <w:r w:rsidRPr="009E635A">
        <w:fldChar w:fldCharType="begin"/>
      </w:r>
      <w:r w:rsidRPr="009E635A">
        <w:rPr>
          <w:rFonts w:cstheme="minorHAnsi"/>
        </w:rPr>
        <w:instrText xml:space="preserve"> HYPERLINK "https://71633548c5390f9d8a76-11ea5efadf29c8f7bdcc6a216b02560a.ssl.cf3.rackcdn.com/content/uploads/2021/09/Covid-19-and-MCA-vaccination-case-study-003.pdf" </w:instrText>
      </w:r>
      <w:r w:rsidRPr="009E635A">
        <w:fldChar w:fldCharType="separate"/>
      </w:r>
      <w:r w:rsidR="00160654" w:rsidRPr="009E635A">
        <w:rPr>
          <w:rStyle w:val="Hyperlink"/>
          <w:rFonts w:cstheme="minorHAnsi"/>
          <w:u w:val="none"/>
        </w:rPr>
        <w:t>COVID 19 Vaccination: A case study: Summarising the key facts and points of learning</w:t>
      </w:r>
      <w:r w:rsidRPr="009E635A">
        <w:rPr>
          <w:rStyle w:val="Hyperlink"/>
          <w:rFonts w:cstheme="minorHAnsi"/>
          <w:u w:val="none"/>
        </w:rPr>
        <w:fldChar w:fldCharType="end"/>
      </w:r>
    </w:p>
    <w:p w14:paraId="70A5E3A6" w14:textId="77777777" w:rsidR="00160654" w:rsidRPr="009E635A" w:rsidRDefault="00274B74" w:rsidP="005C06FD">
      <w:pPr>
        <w:pStyle w:val="ListParagraph"/>
        <w:numPr>
          <w:ilvl w:val="0"/>
          <w:numId w:val="5"/>
        </w:numPr>
        <w:spacing w:after="0" w:line="240" w:lineRule="auto"/>
        <w:ind w:left="714" w:hanging="357"/>
        <w:rPr>
          <w:rFonts w:cstheme="minorHAnsi"/>
          <w:color w:val="000000" w:themeColor="text1"/>
        </w:rPr>
      </w:pPr>
      <w:hyperlink r:id="rId16" w:history="1">
        <w:r w:rsidR="00160654" w:rsidRPr="009E635A">
          <w:rPr>
            <w:rStyle w:val="Hyperlink"/>
            <w:rFonts w:cstheme="minorHAnsi"/>
            <w:u w:val="none"/>
          </w:rPr>
          <w:t>COVID-19 Vaccination and MCA Flow Chart</w:t>
        </w:r>
      </w:hyperlink>
    </w:p>
    <w:p w14:paraId="472E4955" w14:textId="77777777" w:rsidR="00670CD1" w:rsidRPr="009E635A" w:rsidRDefault="00274B74" w:rsidP="005C06FD">
      <w:pPr>
        <w:pStyle w:val="ListParagraph"/>
        <w:numPr>
          <w:ilvl w:val="0"/>
          <w:numId w:val="5"/>
        </w:numPr>
        <w:spacing w:after="0" w:line="240" w:lineRule="auto"/>
        <w:rPr>
          <w:rStyle w:val="Hyperlink"/>
          <w:rFonts w:cstheme="minorHAnsi"/>
          <w:color w:val="000000" w:themeColor="text1"/>
          <w:u w:val="none"/>
        </w:rPr>
      </w:pPr>
      <w:hyperlink r:id="rId17" w:history="1">
        <w:r w:rsidR="00B23365" w:rsidRPr="009E635A">
          <w:rPr>
            <w:rStyle w:val="Hyperlink"/>
            <w:rFonts w:cstheme="minorHAnsi"/>
            <w:u w:val="none"/>
          </w:rPr>
          <w:t>Find out if someone has an attorney, deputy or guardian acting for them</w:t>
        </w:r>
      </w:hyperlink>
    </w:p>
    <w:p w14:paraId="0FB0A202" w14:textId="503435FA" w:rsidR="00D01E6D" w:rsidRPr="009E635A" w:rsidRDefault="00274B74" w:rsidP="005C06FD">
      <w:pPr>
        <w:pStyle w:val="ListParagraph"/>
        <w:numPr>
          <w:ilvl w:val="0"/>
          <w:numId w:val="5"/>
        </w:numPr>
        <w:shd w:val="clear" w:color="auto" w:fill="FFFFFF" w:themeFill="background1"/>
        <w:spacing w:after="0" w:line="240" w:lineRule="auto"/>
        <w:rPr>
          <w:rFonts w:cstheme="minorHAnsi"/>
        </w:rPr>
      </w:pPr>
      <w:hyperlink r:id="rId18" w:history="1">
        <w:r w:rsidR="009A18AA" w:rsidRPr="009E635A">
          <w:rPr>
            <w:rFonts w:cstheme="minorHAnsi"/>
            <w:color w:val="0000FF"/>
          </w:rPr>
          <w:t>Essex Chamber</w:t>
        </w:r>
        <w:r w:rsidR="000955AC" w:rsidRPr="009E635A">
          <w:rPr>
            <w:rFonts w:cstheme="minorHAnsi"/>
            <w:color w:val="0000FF"/>
          </w:rPr>
          <w:t>s Rapid Response Guidance note</w:t>
        </w:r>
        <w:r w:rsidR="009A18AA" w:rsidRPr="009E635A">
          <w:rPr>
            <w:rFonts w:cstheme="minorHAnsi"/>
            <w:color w:val="0000FF"/>
          </w:rPr>
          <w:t xml:space="preserve">: </w:t>
        </w:r>
        <w:r w:rsidR="000955AC" w:rsidRPr="009E635A">
          <w:rPr>
            <w:rFonts w:cstheme="minorHAnsi"/>
            <w:color w:val="0000FF"/>
          </w:rPr>
          <w:t>Vaccination and Mental Capacity 3</w:t>
        </w:r>
        <w:r w:rsidR="000955AC" w:rsidRPr="009E635A">
          <w:rPr>
            <w:rFonts w:cstheme="minorHAnsi"/>
            <w:color w:val="0000FF"/>
            <w:vertAlign w:val="superscript"/>
          </w:rPr>
          <w:t>rd</w:t>
        </w:r>
        <w:r w:rsidR="000955AC" w:rsidRPr="009E635A">
          <w:rPr>
            <w:rFonts w:cstheme="minorHAnsi"/>
            <w:color w:val="0000FF"/>
          </w:rPr>
          <w:t xml:space="preserve"> update</w:t>
        </w:r>
      </w:hyperlink>
    </w:p>
    <w:bookmarkStart w:id="3" w:name="_Hlk82516354"/>
    <w:p w14:paraId="62E6D5A3" w14:textId="77777777" w:rsidR="00456219" w:rsidRPr="009E635A" w:rsidRDefault="00827075" w:rsidP="005C06FD">
      <w:pPr>
        <w:pStyle w:val="ListParagraph"/>
        <w:numPr>
          <w:ilvl w:val="0"/>
          <w:numId w:val="5"/>
        </w:numPr>
        <w:spacing w:after="0" w:line="240" w:lineRule="auto"/>
        <w:rPr>
          <w:rFonts w:cstheme="minorHAnsi"/>
          <w:color w:val="000000" w:themeColor="text1"/>
        </w:rPr>
      </w:pPr>
      <w:r w:rsidRPr="009E635A">
        <w:fldChar w:fldCharType="begin"/>
      </w:r>
      <w:r w:rsidRPr="009E635A">
        <w:rPr>
          <w:rFonts w:cstheme="minorHAnsi"/>
        </w:rPr>
        <w:instrText xml:space="preserve"> HYPERLINK "https://www.gov.uk/government/collections/covid-19-vaccination-programme" </w:instrText>
      </w:r>
      <w:r w:rsidRPr="009E635A">
        <w:fldChar w:fldCharType="separate"/>
      </w:r>
      <w:r w:rsidR="00456219" w:rsidRPr="009E635A">
        <w:rPr>
          <w:rStyle w:val="Hyperlink"/>
          <w:rFonts w:cstheme="minorHAnsi"/>
          <w:u w:val="none"/>
        </w:rPr>
        <w:t>PHE Documents relating to the new coronavirus (COVID-19) vaccination programme</w:t>
      </w:r>
      <w:r w:rsidRPr="009E635A">
        <w:rPr>
          <w:rStyle w:val="Hyperlink"/>
          <w:rFonts w:cstheme="minorHAnsi"/>
          <w:u w:val="none"/>
        </w:rPr>
        <w:fldChar w:fldCharType="end"/>
      </w:r>
    </w:p>
    <w:bookmarkEnd w:id="3"/>
    <w:p w14:paraId="2AFCD20F" w14:textId="3CE73C3D" w:rsidR="00A87ADD" w:rsidRPr="009E635A" w:rsidRDefault="00827075" w:rsidP="005C06FD">
      <w:pPr>
        <w:pStyle w:val="ListParagraph"/>
        <w:numPr>
          <w:ilvl w:val="0"/>
          <w:numId w:val="5"/>
        </w:numPr>
        <w:spacing w:after="0" w:line="240" w:lineRule="auto"/>
        <w:ind w:left="714" w:hanging="357"/>
        <w:rPr>
          <w:rFonts w:cstheme="minorHAnsi"/>
          <w:color w:val="000000" w:themeColor="text1"/>
        </w:rPr>
      </w:pPr>
      <w:r w:rsidRPr="009E635A">
        <w:rPr>
          <w:rFonts w:cstheme="minorHAnsi"/>
        </w:rPr>
        <w:fldChar w:fldCharType="begin"/>
      </w:r>
      <w:r w:rsidRPr="009E635A">
        <w:rPr>
          <w:rFonts w:cstheme="minorHAnsi"/>
        </w:rPr>
        <w:instrText xml:space="preserve"> HYPERLINK "https://www.bihr.org.uk/the-covid-19-vaccine-and-human-rights-a-short-guide" </w:instrText>
      </w:r>
      <w:r w:rsidRPr="009E635A">
        <w:rPr>
          <w:rFonts w:cstheme="minorHAnsi"/>
        </w:rPr>
        <w:fldChar w:fldCharType="separate"/>
      </w:r>
      <w:r w:rsidR="00A87ADD" w:rsidRPr="009E635A">
        <w:rPr>
          <w:rFonts w:cstheme="minorHAnsi"/>
          <w:color w:val="0000FF"/>
        </w:rPr>
        <w:t xml:space="preserve">The Covid-19 Vaccine and Human Rights: A short guide | British Institute of Human Rights </w:t>
      </w:r>
      <w:r w:rsidRPr="009E635A">
        <w:rPr>
          <w:rFonts w:cstheme="minorHAnsi"/>
          <w:color w:val="0000FF"/>
        </w:rPr>
        <w:fldChar w:fldCharType="end"/>
      </w:r>
      <w:r w:rsidR="004A691D" w:rsidRPr="009E635A">
        <w:rPr>
          <w:rFonts w:cstheme="minorHAnsi"/>
          <w:color w:val="0000FF"/>
        </w:rPr>
        <w:t xml:space="preserve"> </w:t>
      </w:r>
    </w:p>
    <w:p w14:paraId="75F81995" w14:textId="4916CFDC" w:rsidR="004230B9" w:rsidRPr="00084AED" w:rsidRDefault="00274B74" w:rsidP="00084AED">
      <w:pPr>
        <w:pStyle w:val="ListParagraph"/>
        <w:numPr>
          <w:ilvl w:val="0"/>
          <w:numId w:val="5"/>
        </w:numPr>
        <w:spacing w:after="0" w:line="240" w:lineRule="auto"/>
        <w:ind w:left="714" w:hanging="357"/>
        <w:rPr>
          <w:rFonts w:cstheme="minorHAnsi"/>
          <w:color w:val="000000" w:themeColor="text1"/>
        </w:rPr>
      </w:pPr>
      <w:hyperlink r:id="rId19" w:history="1">
        <w:r w:rsidR="00BD1D84" w:rsidRPr="009E635A">
          <w:rPr>
            <w:rFonts w:cstheme="minorHAnsi"/>
            <w:color w:val="0000FF"/>
          </w:rPr>
          <w:t>Coronavirus (COVID-19): Vaccine | Mencap</w:t>
        </w:r>
      </w:hyperlink>
      <w:bookmarkEnd w:id="2"/>
    </w:p>
    <w:bookmarkStart w:id="4" w:name="_Hlk82690831"/>
    <w:p w14:paraId="4A46A669" w14:textId="3280F33E" w:rsidR="005C06FD" w:rsidRPr="002B1E40" w:rsidRDefault="00A72675" w:rsidP="005C06FD">
      <w:pPr>
        <w:pStyle w:val="ListParagraph"/>
        <w:numPr>
          <w:ilvl w:val="0"/>
          <w:numId w:val="5"/>
        </w:numPr>
        <w:spacing w:after="0" w:line="240" w:lineRule="auto"/>
        <w:ind w:left="714" w:hanging="357"/>
        <w:rPr>
          <w:rFonts w:cstheme="minorHAnsi"/>
          <w:color w:val="000000" w:themeColor="text1"/>
        </w:rPr>
      </w:pPr>
      <w:r w:rsidRPr="009E635A">
        <w:rPr>
          <w:rFonts w:cstheme="minorHAnsi"/>
          <w:color w:val="0000FF"/>
        </w:rPr>
        <w:fldChar w:fldCharType="begin"/>
      </w:r>
      <w:r w:rsidRPr="009E635A">
        <w:rPr>
          <w:rFonts w:cstheme="minorHAnsi"/>
          <w:color w:val="0000FF"/>
        </w:rPr>
        <w:instrText xml:space="preserve"> HYPERLINK "https://71633548c5390f9d8a76-11ea5efadf29c8f7bdcc6a216b02560a.ssl.cf3.rackcdn.com/content/uploads/2021/09/Key-points-on-assessing-mental-capacity-and-best-interest-decisions-COVID-19-vaccine_.pdf" </w:instrText>
      </w:r>
      <w:r w:rsidRPr="009E635A">
        <w:rPr>
          <w:rFonts w:cstheme="minorHAnsi"/>
          <w:color w:val="0000FF"/>
        </w:rPr>
        <w:fldChar w:fldCharType="separate"/>
      </w:r>
      <w:r w:rsidR="008E4001" w:rsidRPr="009E635A">
        <w:rPr>
          <w:rStyle w:val="Hyperlink"/>
          <w:rFonts w:cstheme="minorHAnsi"/>
          <w:u w:val="none"/>
        </w:rPr>
        <w:t xml:space="preserve">Key points on assessing mental capacity and best </w:t>
      </w:r>
      <w:proofErr w:type="gramStart"/>
      <w:r w:rsidR="008E4001" w:rsidRPr="009E635A">
        <w:rPr>
          <w:rStyle w:val="Hyperlink"/>
          <w:rFonts w:cstheme="minorHAnsi"/>
          <w:u w:val="none"/>
        </w:rPr>
        <w:t>interest</w:t>
      </w:r>
      <w:r w:rsidR="0017311A">
        <w:rPr>
          <w:rStyle w:val="Hyperlink"/>
          <w:rFonts w:cstheme="minorHAnsi"/>
          <w:u w:val="none"/>
        </w:rPr>
        <w:t>s</w:t>
      </w:r>
      <w:proofErr w:type="gramEnd"/>
      <w:r w:rsidR="008E4001" w:rsidRPr="009E635A">
        <w:rPr>
          <w:rStyle w:val="Hyperlink"/>
          <w:rFonts w:cstheme="minorHAnsi"/>
          <w:u w:val="none"/>
        </w:rPr>
        <w:t xml:space="preserve"> decisions: COVID 19 vaccine</w:t>
      </w:r>
      <w:r w:rsidRPr="009E635A">
        <w:rPr>
          <w:rFonts w:cstheme="minorHAnsi"/>
          <w:color w:val="0000FF"/>
        </w:rPr>
        <w:fldChar w:fldCharType="end"/>
      </w:r>
    </w:p>
    <w:p w14:paraId="05474069" w14:textId="77777777" w:rsidR="00B533DC" w:rsidRPr="009E635A" w:rsidRDefault="00B533DC" w:rsidP="005C06FD">
      <w:pPr>
        <w:spacing w:after="0" w:line="240" w:lineRule="auto"/>
        <w:rPr>
          <w:rFonts w:cstheme="minorHAnsi"/>
          <w:color w:val="000000" w:themeColor="text1"/>
        </w:rPr>
      </w:pPr>
    </w:p>
    <w:p w14:paraId="51A1DD55" w14:textId="77777777" w:rsidR="00084AED" w:rsidRDefault="005C06FD" w:rsidP="00084AED">
      <w:pPr>
        <w:spacing w:after="0" w:line="240" w:lineRule="auto"/>
        <w:rPr>
          <w:rFonts w:cstheme="minorHAnsi"/>
          <w:bCs/>
        </w:rPr>
      </w:pPr>
      <w:r w:rsidRPr="009E635A">
        <w:rPr>
          <w:rFonts w:cstheme="minorHAnsi"/>
          <w:b/>
          <w:bCs/>
          <w:color w:val="000000" w:themeColor="text1"/>
        </w:rPr>
        <w:t>LYPFT in collaboration with the CCG are running a monthly group to review complex cases of individuals with a diagnosis of learning disabilities who might lack capacity to consent to the vaccine. Colleagues from Primary Care will get an invite from LYPFT to ensure that the discussions are holistic and if they are not able to attend some request for views and information will be made. The sessions will be on teams.</w:t>
      </w:r>
      <w:r w:rsidR="002B1E40">
        <w:rPr>
          <w:rFonts w:cstheme="minorHAnsi"/>
          <w:b/>
          <w:bCs/>
          <w:color w:val="000000" w:themeColor="text1"/>
        </w:rPr>
        <w:t xml:space="preserve"> Health facilitation team and CDLT are keen to work in collaboration with primary care to ensure that vulnerable citizens who lack capacity are safeguarded as envisaged by the Mental Capacity Act and Human rights Act. </w:t>
      </w:r>
      <w:bookmarkEnd w:id="4"/>
      <w:r w:rsidR="009A684E" w:rsidRPr="009E635A">
        <w:rPr>
          <w:rFonts w:cstheme="minorHAnsi"/>
          <w:bCs/>
        </w:rPr>
        <w:t xml:space="preserve">Contact </w:t>
      </w:r>
      <w:r w:rsidR="00270F15" w:rsidRPr="009E635A">
        <w:rPr>
          <w:rFonts w:cstheme="minorHAnsi"/>
          <w:bCs/>
        </w:rPr>
        <w:t>Mary Kadzirange</w:t>
      </w:r>
      <w:r w:rsidR="00F84775" w:rsidRPr="009E635A">
        <w:rPr>
          <w:rFonts w:cstheme="minorHAnsi"/>
          <w:bCs/>
        </w:rPr>
        <w:t xml:space="preserve"> </w:t>
      </w:r>
      <w:r w:rsidR="009A684E" w:rsidRPr="009E635A">
        <w:rPr>
          <w:rFonts w:cstheme="minorHAnsi"/>
          <w:bCs/>
        </w:rPr>
        <w:t xml:space="preserve">Mental </w:t>
      </w:r>
    </w:p>
    <w:p w14:paraId="3A760D56" w14:textId="77777777" w:rsidR="00084AED" w:rsidRDefault="00084AED" w:rsidP="00084AED">
      <w:pPr>
        <w:spacing w:after="0" w:line="240" w:lineRule="auto"/>
        <w:rPr>
          <w:rFonts w:cstheme="minorHAnsi"/>
          <w:bCs/>
        </w:rPr>
      </w:pPr>
    </w:p>
    <w:p w14:paraId="7DCE2472" w14:textId="49B4DC59" w:rsidR="001A6A56" w:rsidRPr="00084AED" w:rsidRDefault="009A684E" w:rsidP="00084AED">
      <w:pPr>
        <w:spacing w:after="0" w:line="240" w:lineRule="auto"/>
        <w:rPr>
          <w:rFonts w:cstheme="minorHAnsi"/>
          <w:b/>
          <w:bCs/>
          <w:color w:val="000000" w:themeColor="text1"/>
        </w:rPr>
      </w:pPr>
      <w:r w:rsidRPr="009E635A">
        <w:rPr>
          <w:rFonts w:cstheme="minorHAnsi"/>
          <w:bCs/>
        </w:rPr>
        <w:lastRenderedPageBreak/>
        <w:t xml:space="preserve">Capacity Act Lead, Leeds CCG Safeguarding Team, at </w:t>
      </w:r>
      <w:hyperlink r:id="rId20" w:history="1">
        <w:r w:rsidRPr="009E635A">
          <w:rPr>
            <w:rStyle w:val="Hyperlink"/>
            <w:rFonts w:cstheme="minorHAnsi"/>
            <w:bCs/>
          </w:rPr>
          <w:t>mary.kadzirange@nhs.net</w:t>
        </w:r>
      </w:hyperlink>
      <w:r w:rsidRPr="009E635A">
        <w:rPr>
          <w:rFonts w:cstheme="minorHAnsi"/>
          <w:bCs/>
        </w:rPr>
        <w:t xml:space="preserve"> or</w:t>
      </w:r>
      <w:bookmarkStart w:id="5" w:name="_Hlk81989412"/>
      <w:r w:rsidRPr="009E635A">
        <w:rPr>
          <w:rFonts w:cstheme="minorHAnsi"/>
          <w:bCs/>
        </w:rPr>
        <w:t xml:space="preserve"> </w:t>
      </w:r>
      <w:bookmarkStart w:id="6" w:name="_Hlk81989353"/>
      <w:r w:rsidR="00827075" w:rsidRPr="009E635A">
        <w:fldChar w:fldCharType="begin"/>
      </w:r>
      <w:r w:rsidR="00827075" w:rsidRPr="009E635A">
        <w:rPr>
          <w:rFonts w:cstheme="minorHAnsi"/>
        </w:rPr>
        <w:instrText xml:space="preserve"> HYPERLINK "mailto:leeds.safeguarding@nhs.net" </w:instrText>
      </w:r>
      <w:r w:rsidR="00827075" w:rsidRPr="009E635A">
        <w:fldChar w:fldCharType="separate"/>
      </w:r>
      <w:r w:rsidR="00F84775" w:rsidRPr="009E635A">
        <w:rPr>
          <w:rStyle w:val="Hyperlink"/>
          <w:rFonts w:cstheme="minorHAnsi"/>
          <w:bCs/>
        </w:rPr>
        <w:t>leeds.safeguarding@nhs.net</w:t>
      </w:r>
      <w:r w:rsidR="00827075" w:rsidRPr="009E635A">
        <w:rPr>
          <w:rStyle w:val="Hyperlink"/>
          <w:rFonts w:cstheme="minorHAnsi"/>
          <w:bCs/>
        </w:rPr>
        <w:fldChar w:fldCharType="end"/>
      </w:r>
      <w:bookmarkEnd w:id="5"/>
      <w:r w:rsidR="00F84775" w:rsidRPr="009E635A">
        <w:rPr>
          <w:rFonts w:cstheme="minorHAnsi"/>
          <w:bCs/>
        </w:rPr>
        <w:t xml:space="preserve">  </w:t>
      </w:r>
      <w:bookmarkEnd w:id="6"/>
      <w:r w:rsidR="00AE1F82" w:rsidRPr="009E635A">
        <w:rPr>
          <w:rFonts w:cstheme="minorHAnsi"/>
          <w:bCs/>
        </w:rPr>
        <w:t>07917514196.</w:t>
      </w:r>
      <w:r w:rsidR="00B16D2B" w:rsidRPr="009E635A">
        <w:rPr>
          <w:rFonts w:cstheme="minorHAnsi"/>
          <w:bCs/>
        </w:rPr>
        <w:t xml:space="preserve">  </w:t>
      </w:r>
    </w:p>
    <w:sectPr w:rsidR="001A6A56" w:rsidRPr="00084AED" w:rsidSect="00A038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35pt;height:11.35pt" o:bullet="t">
        <v:imagedata r:id="rId1" o:title="mso634C"/>
      </v:shape>
    </w:pict>
  </w:numPicBullet>
  <w:abstractNum w:abstractNumId="0" w15:restartNumberingAfterBreak="0">
    <w:nsid w:val="04D629C4"/>
    <w:multiLevelType w:val="hybridMultilevel"/>
    <w:tmpl w:val="E7846BC8"/>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3A05FA"/>
    <w:multiLevelType w:val="hybridMultilevel"/>
    <w:tmpl w:val="F3746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7773A2"/>
    <w:multiLevelType w:val="hybridMultilevel"/>
    <w:tmpl w:val="94BA46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953E65"/>
    <w:multiLevelType w:val="hybridMultilevel"/>
    <w:tmpl w:val="40649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DC1074"/>
    <w:multiLevelType w:val="hybridMultilevel"/>
    <w:tmpl w:val="DD4438A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960617"/>
    <w:multiLevelType w:val="hybridMultilevel"/>
    <w:tmpl w:val="F1AC089A"/>
    <w:lvl w:ilvl="0" w:tplc="2A429AEC">
      <w:start w:val="1"/>
      <w:numFmt w:val="decimal"/>
      <w:lvlText w:val="%1)"/>
      <w:lvlJc w:val="left"/>
      <w:pPr>
        <w:ind w:left="720" w:hanging="360"/>
      </w:pPr>
      <w:rPr>
        <w:rFonts w:asciiTheme="minorHAnsi" w:eastAsiaTheme="minorHAnsi" w:hAnsiTheme="minorHAnsi" w:cstheme="minorBidi"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5C"/>
    <w:rsid w:val="00015EDA"/>
    <w:rsid w:val="0002568D"/>
    <w:rsid w:val="00036CAE"/>
    <w:rsid w:val="00081F4C"/>
    <w:rsid w:val="00084AED"/>
    <w:rsid w:val="000955AC"/>
    <w:rsid w:val="000B725F"/>
    <w:rsid w:val="000C524B"/>
    <w:rsid w:val="00160654"/>
    <w:rsid w:val="0017311A"/>
    <w:rsid w:val="00192E80"/>
    <w:rsid w:val="001A6A56"/>
    <w:rsid w:val="001C3EEF"/>
    <w:rsid w:val="001D0A3A"/>
    <w:rsid w:val="001E242C"/>
    <w:rsid w:val="00213B6D"/>
    <w:rsid w:val="002316CF"/>
    <w:rsid w:val="00247864"/>
    <w:rsid w:val="00270F15"/>
    <w:rsid w:val="00274B74"/>
    <w:rsid w:val="002A733C"/>
    <w:rsid w:val="002B1E40"/>
    <w:rsid w:val="002B47C8"/>
    <w:rsid w:val="002C71DA"/>
    <w:rsid w:val="002E6512"/>
    <w:rsid w:val="002F4A53"/>
    <w:rsid w:val="00306F7C"/>
    <w:rsid w:val="003E6B41"/>
    <w:rsid w:val="004218B1"/>
    <w:rsid w:val="004230B9"/>
    <w:rsid w:val="0045033F"/>
    <w:rsid w:val="00456219"/>
    <w:rsid w:val="00460215"/>
    <w:rsid w:val="004734AE"/>
    <w:rsid w:val="00493288"/>
    <w:rsid w:val="004A48D9"/>
    <w:rsid w:val="004A691D"/>
    <w:rsid w:val="004C12FE"/>
    <w:rsid w:val="004C4BA4"/>
    <w:rsid w:val="00512982"/>
    <w:rsid w:val="00563F12"/>
    <w:rsid w:val="005710B5"/>
    <w:rsid w:val="00595BAE"/>
    <w:rsid w:val="0059773A"/>
    <w:rsid w:val="005C06FD"/>
    <w:rsid w:val="0066045C"/>
    <w:rsid w:val="00670CD1"/>
    <w:rsid w:val="006A0EA6"/>
    <w:rsid w:val="006A1700"/>
    <w:rsid w:val="006A69A7"/>
    <w:rsid w:val="006D09A2"/>
    <w:rsid w:val="006D5EEE"/>
    <w:rsid w:val="006F3414"/>
    <w:rsid w:val="00730BA8"/>
    <w:rsid w:val="0074514F"/>
    <w:rsid w:val="00756D4E"/>
    <w:rsid w:val="00767F67"/>
    <w:rsid w:val="00770022"/>
    <w:rsid w:val="007765B7"/>
    <w:rsid w:val="007C0034"/>
    <w:rsid w:val="007C1F47"/>
    <w:rsid w:val="007E0228"/>
    <w:rsid w:val="00827075"/>
    <w:rsid w:val="00832247"/>
    <w:rsid w:val="008508FE"/>
    <w:rsid w:val="008627AE"/>
    <w:rsid w:val="008939A3"/>
    <w:rsid w:val="00897C84"/>
    <w:rsid w:val="008D5362"/>
    <w:rsid w:val="008E4001"/>
    <w:rsid w:val="008E6282"/>
    <w:rsid w:val="00922752"/>
    <w:rsid w:val="0092762A"/>
    <w:rsid w:val="00950DBB"/>
    <w:rsid w:val="00961101"/>
    <w:rsid w:val="00976820"/>
    <w:rsid w:val="00981625"/>
    <w:rsid w:val="009A0372"/>
    <w:rsid w:val="009A18AA"/>
    <w:rsid w:val="009A684E"/>
    <w:rsid w:val="009E635A"/>
    <w:rsid w:val="00A038E3"/>
    <w:rsid w:val="00A4578F"/>
    <w:rsid w:val="00A624AC"/>
    <w:rsid w:val="00A6722B"/>
    <w:rsid w:val="00A72675"/>
    <w:rsid w:val="00A87ADD"/>
    <w:rsid w:val="00AB7A56"/>
    <w:rsid w:val="00AD64BB"/>
    <w:rsid w:val="00AE1F82"/>
    <w:rsid w:val="00B16D2B"/>
    <w:rsid w:val="00B23365"/>
    <w:rsid w:val="00B533DC"/>
    <w:rsid w:val="00B963E5"/>
    <w:rsid w:val="00BB700E"/>
    <w:rsid w:val="00BC4FC5"/>
    <w:rsid w:val="00BD1D84"/>
    <w:rsid w:val="00BD1E74"/>
    <w:rsid w:val="00BF6921"/>
    <w:rsid w:val="00C33DBD"/>
    <w:rsid w:val="00C42A63"/>
    <w:rsid w:val="00CB136D"/>
    <w:rsid w:val="00CE01CF"/>
    <w:rsid w:val="00CE5192"/>
    <w:rsid w:val="00CF2F82"/>
    <w:rsid w:val="00D01E6D"/>
    <w:rsid w:val="00D17313"/>
    <w:rsid w:val="00D564F2"/>
    <w:rsid w:val="00DD639B"/>
    <w:rsid w:val="00E16247"/>
    <w:rsid w:val="00E43055"/>
    <w:rsid w:val="00E9600B"/>
    <w:rsid w:val="00EC4DB9"/>
    <w:rsid w:val="00EF6DB9"/>
    <w:rsid w:val="00EF7606"/>
    <w:rsid w:val="00F06537"/>
    <w:rsid w:val="00F25F5B"/>
    <w:rsid w:val="00F84775"/>
    <w:rsid w:val="00FD0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48562"/>
  <w15:docId w15:val="{4F0D308E-4D25-4935-B6FF-13AEA2D2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045C"/>
    <w:rPr>
      <w:color w:val="0000FF" w:themeColor="hyperlink"/>
      <w:u w:val="single"/>
    </w:rPr>
  </w:style>
  <w:style w:type="paragraph" w:styleId="ListParagraph">
    <w:name w:val="List Paragraph"/>
    <w:basedOn w:val="Normal"/>
    <w:uiPriority w:val="34"/>
    <w:qFormat/>
    <w:rsid w:val="00BC4FC5"/>
    <w:pPr>
      <w:ind w:left="720"/>
      <w:contextualSpacing/>
    </w:pPr>
  </w:style>
  <w:style w:type="character" w:styleId="FollowedHyperlink">
    <w:name w:val="FollowedHyperlink"/>
    <w:basedOn w:val="DefaultParagraphFont"/>
    <w:uiPriority w:val="99"/>
    <w:semiHidden/>
    <w:unhideWhenUsed/>
    <w:rsid w:val="002C71DA"/>
    <w:rPr>
      <w:color w:val="800080" w:themeColor="followedHyperlink"/>
      <w:u w:val="single"/>
    </w:rPr>
  </w:style>
  <w:style w:type="character" w:styleId="UnresolvedMention">
    <w:name w:val="Unresolved Mention"/>
    <w:basedOn w:val="DefaultParagraphFont"/>
    <w:uiPriority w:val="99"/>
    <w:semiHidden/>
    <w:unhideWhenUsed/>
    <w:rsid w:val="006F3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rningdisabilityservice-leeds.nhs.uk/get-checked-out/resources/covid-19/" TargetMode="External"/><Relationship Id="rId13" Type="http://schemas.openxmlformats.org/officeDocument/2006/relationships/hyperlink" Target="https://71633548c5390f9d8a76-11ea5efadf29c8f7bdcc6a216b02560a.ssl.cf3.rackcdn.com/content/uploads/2021/09/Example-of-Mental-Capacity-Assessment-to-consent-for-COVID-19-vaccine-and-record-of-best-interets-decision.pdf" TargetMode="External"/><Relationship Id="rId18" Type="http://schemas.openxmlformats.org/officeDocument/2006/relationships/hyperlink" Target="https://1f2ca7mxjow42e65q49871m1-wpengine.netdna-ssl.com/wp-content/uploads/2021/01/Mental-Capacity-Guidance-Note-COVID-19-vaccination-and-capacity-v4.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ov.uk/government/collections/covid-19-vaccination-programme" TargetMode="External"/><Relationship Id="rId12" Type="http://schemas.openxmlformats.org/officeDocument/2006/relationships/hyperlink" Target="https://www.cqc.org.uk/sites/default/files/Brief_guide_Capacity_and_consent_in_under_18s%20v3.pdf" TargetMode="External"/><Relationship Id="rId17" Type="http://schemas.openxmlformats.org/officeDocument/2006/relationships/hyperlink" Target="https://www.gov.uk/find-someones-attorney-deputy-or-guardian" TargetMode="External"/><Relationship Id="rId2" Type="http://schemas.openxmlformats.org/officeDocument/2006/relationships/styles" Target="styles.xml"/><Relationship Id="rId16" Type="http://schemas.openxmlformats.org/officeDocument/2006/relationships/hyperlink" Target="https://71633548c5390f9d8a76-11ea5efadf29c8f7bdcc6a216b02560a.ssl.cf3.rackcdn.com/content/uploads/2021/09/Vaccination-consent-and-MCA-flow-chart.pdf" TargetMode="External"/><Relationship Id="rId20" Type="http://schemas.openxmlformats.org/officeDocument/2006/relationships/hyperlink" Target="mailto:mary.kadzirange@nhs.net" TargetMode="External"/><Relationship Id="rId1" Type="http://schemas.openxmlformats.org/officeDocument/2006/relationships/numbering" Target="numbering.xml"/><Relationship Id="rId6" Type="http://schemas.openxmlformats.org/officeDocument/2006/relationships/hyperlink" Target="https://www.scie.org.uk/mca/introduction/mental-capacity-act-2005-at-a-glance" TargetMode="External"/><Relationship Id="rId11" Type="http://schemas.openxmlformats.org/officeDocument/2006/relationships/hyperlink" Target="mailto:leeds.safeguarding@nhs.net" TargetMode="External"/><Relationship Id="rId5" Type="http://schemas.openxmlformats.org/officeDocument/2006/relationships/hyperlink" Target="https://www.edgetraining.org.uk/post/covid-19-vaccinations-and-the-mental-capacity-act" TargetMode="External"/><Relationship Id="rId15" Type="http://schemas.openxmlformats.org/officeDocument/2006/relationships/hyperlink" Target="mailto:leeds.safeguarding@nhs.net" TargetMode="External"/><Relationship Id="rId10" Type="http://schemas.openxmlformats.org/officeDocument/2006/relationships/hyperlink" Target="https://advonet.org.uk/how-we-can-help-you/make-a-referral/" TargetMode="External"/><Relationship Id="rId19" Type="http://schemas.openxmlformats.org/officeDocument/2006/relationships/hyperlink" Target="https://www.mencap.org.uk/coronavirus/coronavirus-covid-19-vaccine" TargetMode="External"/><Relationship Id="rId4" Type="http://schemas.openxmlformats.org/officeDocument/2006/relationships/webSettings" Target="webSettings.xml"/><Relationship Id="rId9" Type="http://schemas.openxmlformats.org/officeDocument/2006/relationships/hyperlink" Target="https://www.gov.uk/guidance/nhs-staff-searching-our-registers-of-attorneys-and-deputies" TargetMode="External"/><Relationship Id="rId14" Type="http://schemas.openxmlformats.org/officeDocument/2006/relationships/hyperlink" Target="https://assets.publishing.service.gov.uk/government/uploads/system/uploads/attachment_data/file/994850/PHE_Greenbook_of_immunisation_chapter_2_consent_18_June21.pdf"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1670</Words>
  <Characters>9520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NHS Leeds CCG</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Kadzirange</dc:creator>
  <cp:lastModifiedBy>BRADBURN, Natasha (LEEDS AND YORK PARTNERSHIP NHS FOUNDATION TRUST)</cp:lastModifiedBy>
  <cp:revision>2</cp:revision>
  <dcterms:created xsi:type="dcterms:W3CDTF">2021-12-21T10:22:00Z</dcterms:created>
  <dcterms:modified xsi:type="dcterms:W3CDTF">2021-12-21T10:22:00Z</dcterms:modified>
</cp:coreProperties>
</file>